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AA53" w14:textId="77777777" w:rsidR="00AA6D0D" w:rsidRPr="0008616D" w:rsidRDefault="008977EC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8616D">
        <w:rPr>
          <w:rFonts w:ascii="Arial" w:hAnsi="Arial" w:cs="Arial"/>
          <w:sz w:val="18"/>
          <w:szCs w:val="18"/>
        </w:rPr>
        <w:t>Skizze für ein P</w:t>
      </w:r>
      <w:r w:rsidR="00AA6D0D" w:rsidRPr="0008616D">
        <w:rPr>
          <w:rFonts w:ascii="Arial" w:hAnsi="Arial" w:cs="Arial"/>
          <w:sz w:val="18"/>
          <w:szCs w:val="18"/>
        </w:rPr>
        <w:t xml:space="preserve">rojekt im Rahmen </w:t>
      </w:r>
      <w:r w:rsidRPr="0008616D">
        <w:rPr>
          <w:rFonts w:ascii="Arial" w:hAnsi="Arial" w:cs="Arial"/>
          <w:sz w:val="18"/>
          <w:szCs w:val="18"/>
        </w:rPr>
        <w:t>des Erasmus+ Programms</w:t>
      </w:r>
      <w:r w:rsidR="001C3338" w:rsidRPr="0008616D">
        <w:rPr>
          <w:rFonts w:ascii="Arial" w:hAnsi="Arial" w:cs="Arial"/>
          <w:sz w:val="18"/>
          <w:szCs w:val="18"/>
        </w:rPr>
        <w:br/>
        <w:t>„</w:t>
      </w:r>
      <w:r w:rsidRPr="0008616D">
        <w:rPr>
          <w:rFonts w:ascii="Arial" w:hAnsi="Arial" w:cs="Arial"/>
          <w:sz w:val="18"/>
          <w:szCs w:val="18"/>
        </w:rPr>
        <w:t xml:space="preserve">„New Skills </w:t>
      </w:r>
      <w:proofErr w:type="spellStart"/>
      <w:r w:rsidRPr="0008616D">
        <w:rPr>
          <w:rFonts w:ascii="Arial" w:hAnsi="Arial" w:cs="Arial"/>
          <w:sz w:val="18"/>
          <w:szCs w:val="18"/>
        </w:rPr>
        <w:t>for</w:t>
      </w:r>
      <w:proofErr w:type="spellEnd"/>
      <w:r w:rsidRPr="0008616D">
        <w:rPr>
          <w:rFonts w:ascii="Arial" w:hAnsi="Arial" w:cs="Arial"/>
          <w:sz w:val="18"/>
          <w:szCs w:val="18"/>
        </w:rPr>
        <w:t xml:space="preserve"> New Jobs/Neue Kompetenzen für n</w:t>
      </w:r>
      <w:r w:rsidR="00AE319D" w:rsidRPr="0008616D">
        <w:rPr>
          <w:rFonts w:ascii="Arial" w:hAnsi="Arial" w:cs="Arial"/>
          <w:sz w:val="18"/>
          <w:szCs w:val="18"/>
        </w:rPr>
        <w:t>eue Beschäftigungsmöglichkeiten</w:t>
      </w:r>
      <w:r w:rsidR="00AA6D0D" w:rsidRPr="0008616D">
        <w:rPr>
          <w:rFonts w:ascii="Arial" w:hAnsi="Arial" w:cs="Arial"/>
          <w:sz w:val="18"/>
          <w:szCs w:val="18"/>
        </w:rPr>
        <w:t>“</w:t>
      </w:r>
    </w:p>
    <w:p w14:paraId="66AF06BF" w14:textId="77777777" w:rsidR="00AA6D0D" w:rsidRPr="007537E5" w:rsidRDefault="00AA6D0D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3A2A9FF" w14:textId="77777777" w:rsidR="00485802" w:rsidRPr="007537E5" w:rsidRDefault="00485802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6088F4" w14:textId="77777777" w:rsidR="00C914B4" w:rsidRDefault="00DD608F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Netzkompetenz </w:t>
      </w:r>
    </w:p>
    <w:p w14:paraId="7C72F95D" w14:textId="77777777" w:rsidR="0098244F" w:rsidRPr="0008616D" w:rsidRDefault="00DD608F" w:rsidP="00DD6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für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eine digitalisierte Arbeitswelt 4.0</w:t>
      </w:r>
      <w:r w:rsidR="00523012" w:rsidRPr="0008616D">
        <w:rPr>
          <w:rFonts w:ascii="Arial" w:hAnsi="Arial" w:cs="Arial"/>
          <w:b/>
          <w:sz w:val="24"/>
          <w:szCs w:val="24"/>
        </w:rPr>
        <w:t xml:space="preserve"> </w:t>
      </w:r>
      <w:r w:rsidR="004823FD" w:rsidRPr="0008616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(NetKo</w:t>
      </w:r>
      <w:r w:rsidR="00C914B4" w:rsidRPr="0008616D">
        <w:rPr>
          <w:rFonts w:ascii="Arial" w:hAnsi="Arial" w:cs="Arial"/>
          <w:b/>
          <w:sz w:val="24"/>
          <w:szCs w:val="24"/>
        </w:rPr>
        <w:t>_4.0</w:t>
      </w:r>
      <w:r w:rsidR="00703871" w:rsidRPr="0008616D">
        <w:rPr>
          <w:rFonts w:ascii="Arial" w:hAnsi="Arial" w:cs="Arial"/>
          <w:b/>
          <w:sz w:val="24"/>
          <w:szCs w:val="24"/>
        </w:rPr>
        <w:t>)</w:t>
      </w:r>
    </w:p>
    <w:p w14:paraId="61D56762" w14:textId="77777777" w:rsidR="00AA6D0D" w:rsidRPr="008977EC" w:rsidRDefault="00AA6D0D" w:rsidP="00086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2EC0B85" w14:textId="77777777" w:rsidR="00AA6D0D" w:rsidRPr="0008616D" w:rsidRDefault="00AA6D0D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8616D">
        <w:rPr>
          <w:rFonts w:ascii="Arial" w:hAnsi="Arial" w:cs="Arial"/>
          <w:b/>
          <w:sz w:val="16"/>
          <w:szCs w:val="16"/>
        </w:rPr>
        <w:t>Antragsteller</w:t>
      </w:r>
    </w:p>
    <w:p w14:paraId="4482BCE4" w14:textId="77777777" w:rsidR="00AA6D0D" w:rsidRPr="0008616D" w:rsidRDefault="00AA6D0D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6954CEB" w14:textId="77777777" w:rsidR="00A259C4" w:rsidRPr="0008616D" w:rsidRDefault="00A259C4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 xml:space="preserve">Europa-Universität Flensburg </w:t>
      </w:r>
    </w:p>
    <w:p w14:paraId="08B4C843" w14:textId="77777777" w:rsidR="00AA6D0D" w:rsidRPr="0008616D" w:rsidRDefault="00AA6D0D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Berufsbildungsinstitut Arbeit und Technik (</w:t>
      </w:r>
      <w:proofErr w:type="spellStart"/>
      <w:r w:rsidRPr="0008616D">
        <w:rPr>
          <w:rFonts w:ascii="Arial" w:hAnsi="Arial" w:cs="Arial"/>
          <w:sz w:val="16"/>
          <w:szCs w:val="16"/>
        </w:rPr>
        <w:t>biat</w:t>
      </w:r>
      <w:proofErr w:type="spellEnd"/>
      <w:r w:rsidRPr="0008616D">
        <w:rPr>
          <w:rFonts w:ascii="Arial" w:hAnsi="Arial" w:cs="Arial"/>
          <w:sz w:val="16"/>
          <w:szCs w:val="16"/>
        </w:rPr>
        <w:t>)</w:t>
      </w:r>
    </w:p>
    <w:p w14:paraId="1A73739B" w14:textId="77777777" w:rsidR="00AA6D0D" w:rsidRPr="0008616D" w:rsidRDefault="00A259C4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Berufliche Fachrichtung Informationstechnik</w:t>
      </w:r>
      <w:r w:rsidR="00AA6D0D" w:rsidRPr="0008616D">
        <w:rPr>
          <w:rFonts w:ascii="Arial" w:hAnsi="Arial" w:cs="Arial"/>
          <w:sz w:val="16"/>
          <w:szCs w:val="16"/>
        </w:rPr>
        <w:t xml:space="preserve"> </w:t>
      </w:r>
    </w:p>
    <w:p w14:paraId="5A26BCCD" w14:textId="77777777" w:rsidR="00AA6D0D" w:rsidRPr="0008616D" w:rsidRDefault="00AA6D0D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Auf dem Campus 1</w:t>
      </w:r>
    </w:p>
    <w:p w14:paraId="1B25E6DB" w14:textId="77777777" w:rsidR="00AA6D0D" w:rsidRPr="0008616D" w:rsidRDefault="00AA6D0D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24943 Flensburg</w:t>
      </w:r>
    </w:p>
    <w:p w14:paraId="181625FE" w14:textId="77777777" w:rsidR="00AA6D0D" w:rsidRPr="0008616D" w:rsidRDefault="00AA6D0D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8616D">
        <w:rPr>
          <w:rFonts w:ascii="Arial" w:hAnsi="Arial" w:cs="Arial"/>
          <w:i/>
          <w:sz w:val="16"/>
          <w:szCs w:val="16"/>
        </w:rPr>
        <w:t>Prof. Dr. Axel Grimm</w:t>
      </w:r>
    </w:p>
    <w:p w14:paraId="24BC5139" w14:textId="77777777" w:rsidR="00AA6D0D" w:rsidRPr="0008616D" w:rsidRDefault="00AA6D0D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Tel.: 0461 805 2075</w:t>
      </w:r>
    </w:p>
    <w:p w14:paraId="6784CA47" w14:textId="77777777" w:rsidR="00AA6D0D" w:rsidRPr="0008616D" w:rsidRDefault="00AA6D0D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axel.grimm@biat.uni-flensburg.de</w:t>
      </w:r>
    </w:p>
    <w:p w14:paraId="6C50E613" w14:textId="77777777" w:rsidR="00AA6D0D" w:rsidRPr="0008616D" w:rsidRDefault="00AA6D0D" w:rsidP="00AE3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6975066" w14:textId="77777777" w:rsidR="00AA6D0D" w:rsidRDefault="00627015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8616D">
        <w:rPr>
          <w:rFonts w:ascii="Arial" w:hAnsi="Arial" w:cs="Arial"/>
          <w:b/>
          <w:sz w:val="16"/>
          <w:szCs w:val="16"/>
        </w:rPr>
        <w:t>Verbund</w:t>
      </w:r>
      <w:r w:rsidR="00AA6D0D" w:rsidRPr="0008616D">
        <w:rPr>
          <w:rFonts w:ascii="Arial" w:hAnsi="Arial" w:cs="Arial"/>
          <w:b/>
          <w:sz w:val="16"/>
          <w:szCs w:val="16"/>
        </w:rPr>
        <w:t>partner</w:t>
      </w:r>
    </w:p>
    <w:p w14:paraId="25F44FAB" w14:textId="77777777" w:rsidR="00902E70" w:rsidRDefault="00902E70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A11B47" w14:textId="77777777" w:rsidR="00902E70" w:rsidRDefault="00902E70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02E70">
        <w:rPr>
          <w:rFonts w:ascii="Arial" w:hAnsi="Arial" w:cs="Arial"/>
          <w:sz w:val="16"/>
          <w:szCs w:val="16"/>
        </w:rPr>
        <w:t>GRUNDIG AKADEMIE</w:t>
      </w:r>
      <w:r w:rsidR="000247BC">
        <w:rPr>
          <w:rFonts w:ascii="Arial" w:hAnsi="Arial" w:cs="Arial"/>
          <w:sz w:val="16"/>
          <w:szCs w:val="16"/>
        </w:rPr>
        <w:t xml:space="preserve"> (D)</w:t>
      </w:r>
    </w:p>
    <w:p w14:paraId="47A0498F" w14:textId="77777777" w:rsidR="00902E70" w:rsidRDefault="00902E70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Fachschule für Technik</w:t>
      </w:r>
      <w:r w:rsidRPr="00902E70">
        <w:rPr>
          <w:rFonts w:ascii="Arial" w:hAnsi="Arial" w:cs="Arial"/>
          <w:sz w:val="16"/>
          <w:szCs w:val="16"/>
        </w:rPr>
        <w:br/>
        <w:t>Akademie für Wirtschaft und Technik gemeinnützige Stiftung e.V.</w:t>
      </w:r>
    </w:p>
    <w:p w14:paraId="6B32D9D3" w14:textId="77777777" w:rsidR="00902E70" w:rsidRPr="00902E70" w:rsidRDefault="00902E70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02E70">
        <w:rPr>
          <w:rFonts w:ascii="Arial" w:hAnsi="Arial" w:cs="Arial"/>
          <w:sz w:val="16"/>
          <w:szCs w:val="16"/>
        </w:rPr>
        <w:t>Fachschule für Technik</w:t>
      </w:r>
      <w:r w:rsidRPr="00902E70">
        <w:rPr>
          <w:rFonts w:ascii="Arial" w:hAnsi="Arial" w:cs="Arial"/>
          <w:sz w:val="16"/>
          <w:szCs w:val="16"/>
        </w:rPr>
        <w:br/>
      </w:r>
      <w:proofErr w:type="spellStart"/>
      <w:r w:rsidRPr="00902E70">
        <w:rPr>
          <w:rFonts w:ascii="Arial" w:hAnsi="Arial" w:cs="Arial"/>
          <w:sz w:val="16"/>
          <w:szCs w:val="16"/>
        </w:rPr>
        <w:t>Beuthener</w:t>
      </w:r>
      <w:proofErr w:type="spellEnd"/>
      <w:r w:rsidRPr="00902E70">
        <w:rPr>
          <w:rFonts w:ascii="Arial" w:hAnsi="Arial" w:cs="Arial"/>
          <w:sz w:val="16"/>
          <w:szCs w:val="16"/>
        </w:rPr>
        <w:t xml:space="preserve"> Straße 45</w:t>
      </w:r>
      <w:r w:rsidRPr="00902E70">
        <w:rPr>
          <w:rFonts w:ascii="Arial" w:hAnsi="Arial" w:cs="Arial"/>
          <w:sz w:val="16"/>
          <w:szCs w:val="16"/>
        </w:rPr>
        <w:br/>
        <w:t>90471 Nürnberg</w:t>
      </w:r>
    </w:p>
    <w:p w14:paraId="18DB5C8E" w14:textId="77777777" w:rsidR="0008616D" w:rsidRPr="00902E70" w:rsidRDefault="0008616D" w:rsidP="00086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7A7274" w14:textId="77777777" w:rsidR="0008616D" w:rsidRPr="0008616D" w:rsidRDefault="0008616D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08616D">
        <w:rPr>
          <w:rFonts w:ascii="Arial" w:hAnsi="Arial" w:cs="Arial"/>
          <w:bCs/>
          <w:sz w:val="16"/>
          <w:szCs w:val="16"/>
        </w:rPr>
        <w:t>Regionales Berufsbildungszentrum Flensburg</w:t>
      </w:r>
      <w:r w:rsidR="000247BC">
        <w:rPr>
          <w:rFonts w:ascii="Arial" w:hAnsi="Arial" w:cs="Arial"/>
          <w:bCs/>
          <w:sz w:val="16"/>
          <w:szCs w:val="16"/>
        </w:rPr>
        <w:t xml:space="preserve"> (D)</w:t>
      </w:r>
      <w:r w:rsidRPr="0008616D">
        <w:rPr>
          <w:rFonts w:ascii="Arial" w:hAnsi="Arial" w:cs="Arial"/>
          <w:bCs/>
          <w:sz w:val="16"/>
          <w:szCs w:val="16"/>
        </w:rPr>
        <w:br/>
        <w:t>ECKENER-SCHULE (</w:t>
      </w:r>
      <w:proofErr w:type="spellStart"/>
      <w:r w:rsidRPr="0008616D">
        <w:rPr>
          <w:rFonts w:ascii="Arial" w:hAnsi="Arial" w:cs="Arial"/>
          <w:bCs/>
          <w:sz w:val="16"/>
          <w:szCs w:val="16"/>
        </w:rPr>
        <w:t>AöR</w:t>
      </w:r>
      <w:proofErr w:type="spellEnd"/>
      <w:r w:rsidRPr="0008616D">
        <w:rPr>
          <w:rFonts w:ascii="Arial" w:hAnsi="Arial" w:cs="Arial"/>
          <w:bCs/>
          <w:sz w:val="16"/>
          <w:szCs w:val="16"/>
        </w:rPr>
        <w:t>)</w:t>
      </w:r>
    </w:p>
    <w:p w14:paraId="1E858ED4" w14:textId="77777777" w:rsidR="0008616D" w:rsidRPr="0008616D" w:rsidRDefault="0008616D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Fachschule für Technik und Gestaltung</w:t>
      </w:r>
    </w:p>
    <w:p w14:paraId="04C527D2" w14:textId="77777777" w:rsidR="0008616D" w:rsidRPr="0008616D" w:rsidRDefault="0008616D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 xml:space="preserve">Schützenkuhle 20 - 24 </w:t>
      </w:r>
    </w:p>
    <w:p w14:paraId="1A955DBC" w14:textId="77777777" w:rsidR="0008616D" w:rsidRDefault="0008616D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24937 Flensburg</w:t>
      </w:r>
    </w:p>
    <w:p w14:paraId="6D26306F" w14:textId="77777777" w:rsidR="000247BC" w:rsidRDefault="000247BC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D1CFDC5" w14:textId="77777777" w:rsidR="000247BC" w:rsidRDefault="000247BC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HTL St. Pölten (A)</w:t>
      </w:r>
    </w:p>
    <w:p w14:paraId="0C405AB1" w14:textId="77777777" w:rsidR="000247BC" w:rsidRDefault="000247BC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BE3EFFA" w14:textId="77777777" w:rsidR="000247BC" w:rsidRPr="000247BC" w:rsidRDefault="000247BC" w:rsidP="000247BC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0247BC">
        <w:rPr>
          <w:rFonts w:ascii="Arial" w:hAnsi="Arial" w:cs="Arial"/>
          <w:sz w:val="16"/>
          <w:szCs w:val="16"/>
        </w:rPr>
        <w:t>Vilniaus</w:t>
      </w:r>
      <w:proofErr w:type="spellEnd"/>
      <w:r w:rsidRPr="000247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47BC">
        <w:rPr>
          <w:rFonts w:ascii="Arial" w:hAnsi="Arial" w:cs="Arial"/>
          <w:sz w:val="16"/>
          <w:szCs w:val="16"/>
        </w:rPr>
        <w:t>technologijų</w:t>
      </w:r>
      <w:proofErr w:type="spellEnd"/>
      <w:r w:rsidRPr="000247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47BC">
        <w:rPr>
          <w:rFonts w:ascii="Arial" w:hAnsi="Arial" w:cs="Arial"/>
          <w:sz w:val="16"/>
          <w:szCs w:val="16"/>
        </w:rPr>
        <w:t>ir</w:t>
      </w:r>
      <w:proofErr w:type="spellEnd"/>
      <w:r w:rsidRPr="000247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47BC">
        <w:rPr>
          <w:rFonts w:ascii="Arial" w:hAnsi="Arial" w:cs="Arial"/>
          <w:sz w:val="16"/>
          <w:szCs w:val="16"/>
        </w:rPr>
        <w:t>dizaino</w:t>
      </w:r>
      <w:proofErr w:type="spellEnd"/>
      <w:r w:rsidRPr="000247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47BC">
        <w:rPr>
          <w:rFonts w:ascii="Arial" w:hAnsi="Arial" w:cs="Arial"/>
          <w:sz w:val="16"/>
          <w:szCs w:val="16"/>
        </w:rPr>
        <w:t>kolegija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0247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247BC">
        <w:rPr>
          <w:rFonts w:ascii="Arial" w:hAnsi="Arial" w:cs="Arial"/>
          <w:sz w:val="16"/>
          <w:szCs w:val="16"/>
        </w:rPr>
        <w:t>Antakalnio</w:t>
      </w:r>
      <w:proofErr w:type="spellEnd"/>
      <w:r w:rsidRPr="000247BC">
        <w:rPr>
          <w:rFonts w:ascii="Arial" w:hAnsi="Arial" w:cs="Arial"/>
          <w:sz w:val="16"/>
          <w:szCs w:val="16"/>
        </w:rPr>
        <w:t xml:space="preserve"> g. 54, LT-10303 Vilnius (LT)</w:t>
      </w:r>
    </w:p>
    <w:p w14:paraId="10D3F9D4" w14:textId="77777777" w:rsidR="000247BC" w:rsidRDefault="000247BC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F2402FF" w14:textId="77777777" w:rsidR="000247BC" w:rsidRPr="0008616D" w:rsidRDefault="000247BC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ABDT e. V. Technikerverband (D)</w:t>
      </w:r>
    </w:p>
    <w:p w14:paraId="1393C755" w14:textId="77777777" w:rsidR="0008616D" w:rsidRPr="0008616D" w:rsidRDefault="0008616D" w:rsidP="0090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752C16D" w14:textId="77777777" w:rsidR="0008616D" w:rsidRPr="0008616D" w:rsidRDefault="0008616D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Bundesarbeitskreis Fachschule für Technik (BAK FST)</w:t>
      </w:r>
    </w:p>
    <w:p w14:paraId="2CD33942" w14:textId="77777777" w:rsidR="0008616D" w:rsidRPr="0008616D" w:rsidRDefault="0008616D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Direktorenkonferenz der Technikerschulen/Technikakademien zur Unterstützung</w:t>
      </w:r>
    </w:p>
    <w:p w14:paraId="3E485778" w14:textId="77777777" w:rsidR="0008616D" w:rsidRPr="0008616D" w:rsidRDefault="0008616D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und Förderung der Weiterbildung zur Staatlich geprüften Technikerin/zum</w:t>
      </w:r>
    </w:p>
    <w:p w14:paraId="78505CCC" w14:textId="77777777" w:rsidR="0008616D" w:rsidRPr="0008616D" w:rsidRDefault="0008616D" w:rsidP="0008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8616D">
        <w:rPr>
          <w:rFonts w:ascii="Arial" w:hAnsi="Arial" w:cs="Arial"/>
          <w:sz w:val="16"/>
          <w:szCs w:val="16"/>
        </w:rPr>
        <w:t>Staatlich geprüften Techniker  Deutschland</w:t>
      </w:r>
    </w:p>
    <w:p w14:paraId="3E0505E1" w14:textId="77777777" w:rsidR="00684798" w:rsidRPr="0008616D" w:rsidRDefault="00684798" w:rsidP="00DA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1BF67AC" w14:textId="78566F85" w:rsidR="005C43E2" w:rsidRDefault="00A80305" w:rsidP="00A80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Euro-Prof (EU)</w:t>
      </w:r>
    </w:p>
    <w:p w14:paraId="2701274C" w14:textId="77777777" w:rsidR="00A80305" w:rsidRDefault="00A80305" w:rsidP="00A80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24D4A53" w14:textId="77777777" w:rsidR="00A80305" w:rsidRPr="0008616D" w:rsidRDefault="00A80305" w:rsidP="00A80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6F910A6" w14:textId="494EECAE" w:rsidR="00A259C4" w:rsidRPr="00A80305" w:rsidRDefault="00A80305" w:rsidP="00C62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 w:rsidRPr="00A80305">
        <w:rPr>
          <w:rFonts w:ascii="Arial" w:hAnsi="Arial" w:cs="Arial"/>
          <w:color w:val="000000" w:themeColor="text1"/>
          <w:sz w:val="16"/>
          <w:szCs w:val="16"/>
        </w:rPr>
        <w:t>Edifício</w:t>
      </w:r>
      <w:proofErr w:type="spellEnd"/>
      <w:r w:rsidRPr="00A80305">
        <w:rPr>
          <w:rFonts w:ascii="Arial" w:hAnsi="Arial" w:cs="Arial"/>
          <w:color w:val="000000" w:themeColor="text1"/>
          <w:sz w:val="16"/>
          <w:szCs w:val="16"/>
        </w:rPr>
        <w:t xml:space="preserve"> ATEC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(PT)</w:t>
      </w:r>
      <w:bookmarkStart w:id="0" w:name="_GoBack"/>
      <w:bookmarkEnd w:id="0"/>
      <w:r w:rsidR="005C43E2" w:rsidRPr="00A80305">
        <w:rPr>
          <w:rFonts w:ascii="Arial" w:hAnsi="Arial" w:cs="Arial"/>
          <w:b/>
          <w:sz w:val="16"/>
          <w:szCs w:val="16"/>
        </w:rPr>
        <w:br w:type="page"/>
      </w:r>
    </w:p>
    <w:p w14:paraId="1C0057A5" w14:textId="77777777" w:rsidR="00613CD8" w:rsidRPr="007656A8" w:rsidRDefault="00BF20D8" w:rsidP="007656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ab/>
        <w:t>Ausgangslage</w:t>
      </w:r>
    </w:p>
    <w:p w14:paraId="542F1647" w14:textId="77777777" w:rsidR="006303CB" w:rsidRPr="006303CB" w:rsidRDefault="006303CB" w:rsidP="006303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Pr="006303CB">
        <w:rPr>
          <w:rFonts w:ascii="Arial" w:hAnsi="Arial" w:cs="Arial"/>
          <w:b/>
          <w:i/>
          <w:sz w:val="20"/>
          <w:szCs w:val="20"/>
        </w:rPr>
        <w:t>IT-Kompetenzen sind als STANDARDQUALIFIKATION</w:t>
      </w:r>
      <w:r w:rsidR="00DD608F">
        <w:rPr>
          <w:rFonts w:ascii="Arial" w:hAnsi="Arial" w:cs="Arial"/>
          <w:b/>
          <w:i/>
          <w:sz w:val="20"/>
          <w:szCs w:val="20"/>
        </w:rPr>
        <w:t>EN</w:t>
      </w:r>
      <w:r w:rsidRPr="006303CB">
        <w:rPr>
          <w:rFonts w:ascii="Arial" w:hAnsi="Arial" w:cs="Arial"/>
          <w:b/>
          <w:i/>
          <w:sz w:val="20"/>
          <w:szCs w:val="20"/>
        </w:rPr>
        <w:t xml:space="preserve"> in Be</w:t>
      </w:r>
      <w:r>
        <w:rPr>
          <w:rFonts w:ascii="Arial" w:hAnsi="Arial" w:cs="Arial"/>
          <w:b/>
          <w:i/>
          <w:sz w:val="20"/>
          <w:szCs w:val="20"/>
        </w:rPr>
        <w:t>rufsbildern zu entwickeln</w:t>
      </w:r>
      <w:r w:rsidR="00570763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“</w:t>
      </w:r>
    </w:p>
    <w:p w14:paraId="2D768A9E" w14:textId="77777777" w:rsidR="00AE299D" w:rsidRDefault="00050328" w:rsidP="00B25A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299D">
        <w:rPr>
          <w:rFonts w:ascii="Arial" w:hAnsi="Arial" w:cs="Arial"/>
          <w:sz w:val="20"/>
          <w:szCs w:val="20"/>
        </w:rPr>
        <w:t>Mit dieser Aussage unterstrich Prof. Dr. Esser anlässlich des Kongresses „Arbeiten in der digitalen Welt</w:t>
      </w:r>
      <w:r w:rsidR="00AE299D">
        <w:rPr>
          <w:rFonts w:ascii="Arial" w:hAnsi="Arial" w:cs="Arial"/>
          <w:sz w:val="20"/>
          <w:szCs w:val="20"/>
        </w:rPr>
        <w:t>“</w:t>
      </w:r>
      <w:r w:rsidRPr="00AE299D">
        <w:rPr>
          <w:rFonts w:ascii="Arial" w:hAnsi="Arial" w:cs="Arial"/>
          <w:sz w:val="20"/>
          <w:szCs w:val="20"/>
        </w:rPr>
        <w:t xml:space="preserve"> am 28.01.2016 in Berlin ein be</w:t>
      </w:r>
      <w:r w:rsidR="00AE299D">
        <w:rPr>
          <w:rFonts w:ascii="Arial" w:hAnsi="Arial" w:cs="Arial"/>
          <w:sz w:val="20"/>
          <w:szCs w:val="20"/>
        </w:rPr>
        <w:t>rufsfeldbreites Defizit, welches im Diskurs der bevorstehenden Veränderungen hin zu einer digitalisierten Arbeitswelt (Arbeit 4.0/Wirtschaft 4.0/Industrie 4.0) zwi</w:t>
      </w:r>
      <w:r w:rsidR="00AE299D">
        <w:rPr>
          <w:rFonts w:ascii="Arial" w:hAnsi="Arial" w:cs="Arial"/>
          <w:sz w:val="20"/>
          <w:szCs w:val="20"/>
        </w:rPr>
        <w:t>n</w:t>
      </w:r>
      <w:r w:rsidR="00AE299D">
        <w:rPr>
          <w:rFonts w:ascii="Arial" w:hAnsi="Arial" w:cs="Arial"/>
          <w:sz w:val="20"/>
          <w:szCs w:val="20"/>
        </w:rPr>
        <w:t>gend berufsdid</w:t>
      </w:r>
      <w:r w:rsidR="00570763">
        <w:rPr>
          <w:rFonts w:ascii="Arial" w:hAnsi="Arial" w:cs="Arial"/>
          <w:sz w:val="20"/>
          <w:szCs w:val="20"/>
        </w:rPr>
        <w:t>aktischer Implikationen bedarf.</w:t>
      </w:r>
    </w:p>
    <w:p w14:paraId="37B0ADA9" w14:textId="77777777" w:rsidR="00B25A37" w:rsidRPr="00B25A37" w:rsidRDefault="00B25A37" w:rsidP="00B25A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5A37">
        <w:rPr>
          <w:rFonts w:ascii="Arial" w:hAnsi="Arial" w:cs="Arial"/>
          <w:sz w:val="20"/>
          <w:szCs w:val="20"/>
        </w:rPr>
        <w:t>D</w:t>
      </w:r>
      <w:r w:rsidR="00BF20D8">
        <w:rPr>
          <w:rFonts w:ascii="Arial" w:hAnsi="Arial" w:cs="Arial"/>
          <w:sz w:val="20"/>
          <w:szCs w:val="20"/>
        </w:rPr>
        <w:t xml:space="preserve">er bisherige Fokus von Auseinandersetzungen mit der Industrie 4.0 </w:t>
      </w:r>
      <w:r w:rsidRPr="00B25A37">
        <w:rPr>
          <w:rFonts w:ascii="Arial" w:hAnsi="Arial" w:cs="Arial"/>
          <w:sz w:val="20"/>
          <w:szCs w:val="20"/>
        </w:rPr>
        <w:t>beschränk</w:t>
      </w:r>
      <w:r w:rsidR="00570763">
        <w:rPr>
          <w:rFonts w:ascii="Arial" w:hAnsi="Arial" w:cs="Arial"/>
          <w:sz w:val="20"/>
          <w:szCs w:val="20"/>
        </w:rPr>
        <w:t>t sich</w:t>
      </w:r>
      <w:r w:rsidRPr="00B25A37">
        <w:rPr>
          <w:rFonts w:ascii="Arial" w:hAnsi="Arial" w:cs="Arial"/>
          <w:sz w:val="20"/>
          <w:szCs w:val="20"/>
        </w:rPr>
        <w:t xml:space="preserve"> </w:t>
      </w:r>
      <w:r w:rsidR="00570763">
        <w:rPr>
          <w:rFonts w:ascii="Arial" w:hAnsi="Arial" w:cs="Arial"/>
          <w:sz w:val="20"/>
          <w:szCs w:val="20"/>
        </w:rPr>
        <w:t xml:space="preserve">mehrheitlich </w:t>
      </w:r>
      <w:r w:rsidRPr="00B25A37">
        <w:rPr>
          <w:rFonts w:ascii="Arial" w:hAnsi="Arial" w:cs="Arial"/>
          <w:sz w:val="20"/>
          <w:szCs w:val="20"/>
        </w:rPr>
        <w:t>auf die damit verbundenen prozessualen und technologischen Veränderungen im Sinne von „Indust</w:t>
      </w:r>
      <w:r w:rsidR="00570763">
        <w:rPr>
          <w:rFonts w:ascii="Arial" w:hAnsi="Arial" w:cs="Arial"/>
          <w:sz w:val="20"/>
          <w:szCs w:val="20"/>
        </w:rPr>
        <w:t xml:space="preserve">rie 4.0“. Die </w:t>
      </w:r>
      <w:r w:rsidRPr="00B25A37">
        <w:rPr>
          <w:rFonts w:ascii="Arial" w:hAnsi="Arial" w:cs="Arial"/>
          <w:sz w:val="20"/>
          <w:szCs w:val="20"/>
        </w:rPr>
        <w:t>Auswirkungen auf die Arbeitswelt und die Qualifikationsanforderungen bleiben bisher häufig unberücksich</w:t>
      </w:r>
      <w:r w:rsidR="000C037D">
        <w:rPr>
          <w:rFonts w:ascii="Arial" w:hAnsi="Arial" w:cs="Arial"/>
          <w:sz w:val="20"/>
          <w:szCs w:val="20"/>
        </w:rPr>
        <w:t xml:space="preserve">tigt. </w:t>
      </w:r>
      <w:r w:rsidRPr="00B25A37">
        <w:rPr>
          <w:rFonts w:ascii="Arial" w:hAnsi="Arial" w:cs="Arial"/>
          <w:sz w:val="20"/>
          <w:szCs w:val="20"/>
        </w:rPr>
        <w:t>Qualifikationsdefizite stellen aber vor allem in kleinen und mittleren Unter</w:t>
      </w:r>
      <w:r w:rsidR="00570763">
        <w:rPr>
          <w:rFonts w:ascii="Arial" w:hAnsi="Arial" w:cs="Arial"/>
          <w:sz w:val="20"/>
          <w:szCs w:val="20"/>
        </w:rPr>
        <w:t xml:space="preserve">nehmen einen wesentlichen </w:t>
      </w:r>
      <w:proofErr w:type="spellStart"/>
      <w:r w:rsidR="00570763">
        <w:rPr>
          <w:rFonts w:ascii="Arial" w:hAnsi="Arial" w:cs="Arial"/>
          <w:sz w:val="20"/>
          <w:szCs w:val="20"/>
        </w:rPr>
        <w:t>Hemm</w:t>
      </w:r>
      <w:r w:rsidRPr="00B25A37">
        <w:rPr>
          <w:rFonts w:ascii="Arial" w:hAnsi="Arial" w:cs="Arial"/>
          <w:sz w:val="20"/>
          <w:szCs w:val="20"/>
        </w:rPr>
        <w:t>nisfaktor</w:t>
      </w:r>
      <w:proofErr w:type="spellEnd"/>
      <w:r w:rsidRPr="00B25A37">
        <w:rPr>
          <w:rFonts w:ascii="Arial" w:hAnsi="Arial" w:cs="Arial"/>
          <w:sz w:val="20"/>
          <w:szCs w:val="20"/>
        </w:rPr>
        <w:t xml:space="preserve"> bei der Einführung neuer Technologien dar (Ze</w:t>
      </w:r>
      <w:r w:rsidRPr="00B25A37">
        <w:rPr>
          <w:rFonts w:ascii="Arial" w:hAnsi="Arial" w:cs="Arial"/>
          <w:sz w:val="20"/>
          <w:szCs w:val="20"/>
        </w:rPr>
        <w:t>l</w:t>
      </w:r>
      <w:r w:rsidRPr="00B25A37">
        <w:rPr>
          <w:rFonts w:ascii="Arial" w:hAnsi="Arial" w:cs="Arial"/>
          <w:sz w:val="20"/>
          <w:szCs w:val="20"/>
        </w:rPr>
        <w:t>ler/</w:t>
      </w:r>
      <w:proofErr w:type="spellStart"/>
      <w:r w:rsidRPr="00B25A37">
        <w:rPr>
          <w:rFonts w:ascii="Arial" w:hAnsi="Arial" w:cs="Arial"/>
          <w:sz w:val="20"/>
          <w:szCs w:val="20"/>
        </w:rPr>
        <w:t>Achtenhagen</w:t>
      </w:r>
      <w:proofErr w:type="spellEnd"/>
      <w:r w:rsidRPr="00B25A37">
        <w:rPr>
          <w:rFonts w:ascii="Arial" w:hAnsi="Arial" w:cs="Arial"/>
          <w:sz w:val="20"/>
          <w:szCs w:val="20"/>
        </w:rPr>
        <w:t>/</w:t>
      </w:r>
      <w:proofErr w:type="spellStart"/>
      <w:r w:rsidRPr="00B25A37">
        <w:rPr>
          <w:rFonts w:ascii="Arial" w:hAnsi="Arial" w:cs="Arial"/>
          <w:sz w:val="20"/>
          <w:szCs w:val="20"/>
        </w:rPr>
        <w:t>Föst</w:t>
      </w:r>
      <w:proofErr w:type="spellEnd"/>
      <w:r w:rsidRPr="00B25A37">
        <w:rPr>
          <w:rFonts w:ascii="Arial" w:hAnsi="Arial" w:cs="Arial"/>
          <w:sz w:val="20"/>
          <w:szCs w:val="20"/>
        </w:rPr>
        <w:t xml:space="preserve"> 2014, S. 11).</w:t>
      </w:r>
    </w:p>
    <w:p w14:paraId="1002F334" w14:textId="652DBEF3" w:rsidR="00B25A37" w:rsidRDefault="00EE5331" w:rsidP="00B25A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67993">
        <w:rPr>
          <w:rFonts w:ascii="Arial" w:hAnsi="Arial" w:cs="Arial"/>
          <w:sz w:val="20"/>
          <w:szCs w:val="20"/>
        </w:rPr>
        <w:t xml:space="preserve">igene Erhebungen </w:t>
      </w:r>
      <w:r w:rsidR="00570763">
        <w:rPr>
          <w:rFonts w:ascii="Arial" w:hAnsi="Arial" w:cs="Arial"/>
          <w:sz w:val="20"/>
          <w:szCs w:val="20"/>
        </w:rPr>
        <w:t xml:space="preserve">im Rahmen des BMBF geförderten Projektes PROKOM_4.0 </w:t>
      </w:r>
      <w:r w:rsidR="00267993">
        <w:rPr>
          <w:rFonts w:ascii="Arial" w:hAnsi="Arial" w:cs="Arial"/>
          <w:sz w:val="20"/>
          <w:szCs w:val="20"/>
        </w:rPr>
        <w:t>verdeutlichen</w:t>
      </w:r>
      <w:r w:rsidR="00A043D4">
        <w:rPr>
          <w:rFonts w:ascii="Arial" w:hAnsi="Arial" w:cs="Arial"/>
          <w:sz w:val="20"/>
          <w:szCs w:val="20"/>
        </w:rPr>
        <w:t xml:space="preserve">, dass </w:t>
      </w:r>
      <w:r>
        <w:rPr>
          <w:rFonts w:ascii="Arial" w:hAnsi="Arial" w:cs="Arial"/>
          <w:sz w:val="20"/>
          <w:szCs w:val="20"/>
        </w:rPr>
        <w:t xml:space="preserve">sich </w:t>
      </w:r>
      <w:r w:rsidR="00A043D4">
        <w:rPr>
          <w:rFonts w:ascii="Arial" w:hAnsi="Arial" w:cs="Arial"/>
          <w:sz w:val="20"/>
          <w:szCs w:val="20"/>
        </w:rPr>
        <w:t>für die höhere Berufsbildung im Segment der nicht-akademischen Weiterbildung</w:t>
      </w:r>
      <w:r w:rsidR="00DD608F">
        <w:rPr>
          <w:rFonts w:ascii="Arial" w:hAnsi="Arial" w:cs="Arial"/>
          <w:sz w:val="20"/>
          <w:szCs w:val="20"/>
        </w:rPr>
        <w:t xml:space="preserve"> (EQR-Niveau 5/6)</w:t>
      </w:r>
      <w:r>
        <w:rPr>
          <w:rFonts w:ascii="Arial" w:hAnsi="Arial" w:cs="Arial"/>
          <w:sz w:val="20"/>
          <w:szCs w:val="20"/>
        </w:rPr>
        <w:t xml:space="preserve"> </w:t>
      </w:r>
      <w:r w:rsidR="00A043D4">
        <w:rPr>
          <w:rFonts w:ascii="Arial" w:hAnsi="Arial" w:cs="Arial"/>
          <w:sz w:val="20"/>
          <w:szCs w:val="20"/>
        </w:rPr>
        <w:t>neue Aufgabenfelder durch die Weiterentwicklung hin zu einer Industrie 4.0 gestalten werden. Die bislang oft</w:t>
      </w:r>
      <w:r w:rsidR="003863BA">
        <w:rPr>
          <w:rFonts w:ascii="Arial" w:hAnsi="Arial" w:cs="Arial"/>
          <w:sz w:val="20"/>
          <w:szCs w:val="20"/>
        </w:rPr>
        <w:t>mals an klassischen Berufsfeldern</w:t>
      </w:r>
      <w:r w:rsidR="00A043D4">
        <w:rPr>
          <w:rFonts w:ascii="Arial" w:hAnsi="Arial" w:cs="Arial"/>
          <w:sz w:val="20"/>
          <w:szCs w:val="20"/>
        </w:rPr>
        <w:t xml:space="preserve"> orientierte </w:t>
      </w:r>
      <w:r w:rsidR="00524712">
        <w:rPr>
          <w:rFonts w:ascii="Arial" w:hAnsi="Arial" w:cs="Arial"/>
          <w:sz w:val="20"/>
          <w:szCs w:val="20"/>
        </w:rPr>
        <w:t>Technikerausbildung</w:t>
      </w:r>
      <w:r w:rsidR="00BA5DD2">
        <w:rPr>
          <w:rFonts w:ascii="Arial" w:hAnsi="Arial" w:cs="Arial"/>
          <w:sz w:val="20"/>
          <w:szCs w:val="20"/>
        </w:rPr>
        <w:t xml:space="preserve"> respektive berufliche Fort- und Weiterbildung</w:t>
      </w:r>
      <w:r w:rsidR="00524712">
        <w:rPr>
          <w:rFonts w:ascii="Arial" w:hAnsi="Arial" w:cs="Arial"/>
          <w:sz w:val="20"/>
          <w:szCs w:val="20"/>
        </w:rPr>
        <w:t xml:space="preserve"> wird auf die Diffusion der Berufsfelder reagieren müssen. Ehemalige Strukt</w:t>
      </w:r>
      <w:r w:rsidR="00524712">
        <w:rPr>
          <w:rFonts w:ascii="Arial" w:hAnsi="Arial" w:cs="Arial"/>
          <w:sz w:val="20"/>
          <w:szCs w:val="20"/>
        </w:rPr>
        <w:t>u</w:t>
      </w:r>
      <w:r w:rsidR="00524712">
        <w:rPr>
          <w:rFonts w:ascii="Arial" w:hAnsi="Arial" w:cs="Arial"/>
          <w:sz w:val="20"/>
          <w:szCs w:val="20"/>
        </w:rPr>
        <w:t xml:space="preserve">ren der Fachlichkeit </w:t>
      </w:r>
      <w:r w:rsidR="003863BA" w:rsidRPr="003863BA">
        <w:rPr>
          <w:rFonts w:ascii="Arial" w:hAnsi="Arial" w:cs="Arial"/>
          <w:sz w:val="20"/>
          <w:szCs w:val="20"/>
        </w:rPr>
        <w:t xml:space="preserve">– z. B. Elektrotechnik, </w:t>
      </w:r>
      <w:r w:rsidR="003863BA">
        <w:rPr>
          <w:rFonts w:ascii="Arial" w:hAnsi="Arial" w:cs="Arial"/>
          <w:sz w:val="20"/>
          <w:szCs w:val="20"/>
        </w:rPr>
        <w:t>Informationstechnik,</w:t>
      </w:r>
      <w:r w:rsidR="003863BA" w:rsidRPr="003863BA">
        <w:rPr>
          <w:rFonts w:ascii="Arial" w:hAnsi="Arial" w:cs="Arial"/>
          <w:sz w:val="20"/>
          <w:szCs w:val="20"/>
        </w:rPr>
        <w:t xml:space="preserve"> Maschinenbau – </w:t>
      </w:r>
      <w:r w:rsidR="00524712">
        <w:rPr>
          <w:rFonts w:ascii="Arial" w:hAnsi="Arial" w:cs="Arial"/>
          <w:sz w:val="20"/>
          <w:szCs w:val="20"/>
        </w:rPr>
        <w:t>verschmelzen zu einer neuen, den industriellen Anforderungen geschuldeten</w:t>
      </w:r>
      <w:r w:rsidR="00DD608F">
        <w:rPr>
          <w:rFonts w:ascii="Arial" w:hAnsi="Arial" w:cs="Arial"/>
          <w:sz w:val="20"/>
          <w:szCs w:val="20"/>
        </w:rPr>
        <w:t>,</w:t>
      </w:r>
      <w:r w:rsidR="00524712">
        <w:rPr>
          <w:rFonts w:ascii="Arial" w:hAnsi="Arial" w:cs="Arial"/>
          <w:sz w:val="20"/>
          <w:szCs w:val="20"/>
        </w:rPr>
        <w:t xml:space="preserve"> Interdisziplinarität. </w:t>
      </w:r>
      <w:r w:rsidR="00B25A37" w:rsidRPr="00B25A37">
        <w:rPr>
          <w:rFonts w:ascii="Arial" w:hAnsi="Arial" w:cs="Arial"/>
          <w:sz w:val="20"/>
          <w:szCs w:val="20"/>
        </w:rPr>
        <w:t>Die Dynamik der A</w:t>
      </w:r>
      <w:r w:rsidR="00B25A37" w:rsidRPr="00B25A37">
        <w:rPr>
          <w:rFonts w:ascii="Arial" w:hAnsi="Arial" w:cs="Arial"/>
          <w:sz w:val="20"/>
          <w:szCs w:val="20"/>
        </w:rPr>
        <w:t>n</w:t>
      </w:r>
      <w:r w:rsidR="00B25A37" w:rsidRPr="00B25A37">
        <w:rPr>
          <w:rFonts w:ascii="Arial" w:hAnsi="Arial" w:cs="Arial"/>
          <w:sz w:val="20"/>
          <w:szCs w:val="20"/>
        </w:rPr>
        <w:t>forderungen an den beruflichen Arbeitsplätzen der Zukunft verlangt weniger ein feststehendes Qualif</w:t>
      </w:r>
      <w:r w:rsidR="00B25A37" w:rsidRPr="00B25A37">
        <w:rPr>
          <w:rFonts w:ascii="Arial" w:hAnsi="Arial" w:cs="Arial"/>
          <w:sz w:val="20"/>
          <w:szCs w:val="20"/>
        </w:rPr>
        <w:t>i</w:t>
      </w:r>
      <w:r w:rsidR="00B25A37" w:rsidRPr="00B25A37">
        <w:rPr>
          <w:rFonts w:ascii="Arial" w:hAnsi="Arial" w:cs="Arial"/>
          <w:sz w:val="20"/>
          <w:szCs w:val="20"/>
        </w:rPr>
        <w:t>kationsprofil als vielmehr ein auf Kompetenzentwicklung angelegtes Berufsleben – von der Berufsau</w:t>
      </w:r>
      <w:r w:rsidR="00B25A37" w:rsidRPr="00B25A37">
        <w:rPr>
          <w:rFonts w:ascii="Arial" w:hAnsi="Arial" w:cs="Arial"/>
          <w:sz w:val="20"/>
          <w:szCs w:val="20"/>
        </w:rPr>
        <w:t>s</w:t>
      </w:r>
      <w:r w:rsidR="00B25A37" w:rsidRPr="00B25A37">
        <w:rPr>
          <w:rFonts w:ascii="Arial" w:hAnsi="Arial" w:cs="Arial"/>
          <w:sz w:val="20"/>
          <w:szCs w:val="20"/>
        </w:rPr>
        <w:t xml:space="preserve">bildung bis in den Ruhestand. </w:t>
      </w:r>
      <w:r w:rsidR="00F54418">
        <w:rPr>
          <w:rFonts w:ascii="Arial" w:hAnsi="Arial" w:cs="Arial"/>
          <w:sz w:val="20"/>
          <w:szCs w:val="20"/>
        </w:rPr>
        <w:t>Das Lebenslange Lernen kann daher als Voraussetzung für eine da</w:t>
      </w:r>
      <w:r w:rsidR="00F54418">
        <w:rPr>
          <w:rFonts w:ascii="Arial" w:hAnsi="Arial" w:cs="Arial"/>
          <w:sz w:val="20"/>
          <w:szCs w:val="20"/>
        </w:rPr>
        <w:t>u</w:t>
      </w:r>
      <w:r w:rsidR="00F54418">
        <w:rPr>
          <w:rFonts w:ascii="Arial" w:hAnsi="Arial" w:cs="Arial"/>
          <w:sz w:val="20"/>
          <w:szCs w:val="20"/>
        </w:rPr>
        <w:t>erhafte Erwerbsbiographie angesehen werden.</w:t>
      </w:r>
    </w:p>
    <w:p w14:paraId="5C38DE51" w14:textId="77777777" w:rsidR="003863BA" w:rsidRPr="00B25A37" w:rsidRDefault="003863BA" w:rsidP="00B25A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B5ADC2" w14:textId="77777777" w:rsidR="007537E5" w:rsidRDefault="002936F4" w:rsidP="00C11B2B">
      <w:pPr>
        <w:spacing w:before="10" w:after="0" w:line="360" w:lineRule="auto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2</w:t>
      </w:r>
      <w:r>
        <w:rPr>
          <w:rFonts w:ascii="Arial" w:eastAsia="Verdana" w:hAnsi="Arial" w:cs="Arial"/>
          <w:b/>
          <w:bCs/>
        </w:rPr>
        <w:tab/>
      </w:r>
      <w:r w:rsidR="00F54418" w:rsidRPr="00F54418">
        <w:rPr>
          <w:rFonts w:ascii="Arial" w:eastAsia="Verdana" w:hAnsi="Arial" w:cs="Arial"/>
          <w:b/>
          <w:bCs/>
        </w:rPr>
        <w:t>Ziel des Projekts</w:t>
      </w:r>
    </w:p>
    <w:p w14:paraId="30D7A745" w14:textId="59B7D3EC" w:rsidR="00CE4A54" w:rsidRDefault="00CE4A54" w:rsidP="00C11B2B">
      <w:pPr>
        <w:spacing w:before="10"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Der Technologiewandel hin zu einer Industrie 4.0 wird</w:t>
      </w:r>
      <w:r w:rsidR="00EE09BC">
        <w:rPr>
          <w:rFonts w:ascii="Arial" w:eastAsia="Verdana" w:hAnsi="Arial" w:cs="Arial"/>
          <w:sz w:val="20"/>
          <w:szCs w:val="20"/>
        </w:rPr>
        <w:t xml:space="preserve"> Auswirkungen auf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267993">
        <w:rPr>
          <w:rFonts w:ascii="Arial" w:eastAsia="Verdana" w:hAnsi="Arial" w:cs="Arial"/>
          <w:sz w:val="20"/>
          <w:szCs w:val="20"/>
        </w:rPr>
        <w:t>das B</w:t>
      </w:r>
      <w:r w:rsidR="00EE09BC">
        <w:rPr>
          <w:rFonts w:ascii="Arial" w:eastAsia="Verdana" w:hAnsi="Arial" w:cs="Arial"/>
          <w:sz w:val="20"/>
          <w:szCs w:val="20"/>
        </w:rPr>
        <w:t xml:space="preserve">eschäftigungssystem haben. Welche </w:t>
      </w:r>
      <w:r w:rsidRPr="00CE4A54">
        <w:rPr>
          <w:rFonts w:ascii="Arial" w:eastAsia="Verdana" w:hAnsi="Arial" w:cs="Arial"/>
          <w:sz w:val="20"/>
          <w:szCs w:val="20"/>
        </w:rPr>
        <w:t xml:space="preserve">Kompetenzen </w:t>
      </w:r>
      <w:r w:rsidR="00EE09BC">
        <w:rPr>
          <w:rFonts w:ascii="Arial" w:eastAsia="Verdana" w:hAnsi="Arial" w:cs="Arial"/>
          <w:sz w:val="20"/>
          <w:szCs w:val="20"/>
        </w:rPr>
        <w:t xml:space="preserve">und Qualifikationen </w:t>
      </w:r>
      <w:r w:rsidRPr="00CE4A54">
        <w:rPr>
          <w:rFonts w:ascii="Arial" w:eastAsia="Verdana" w:hAnsi="Arial" w:cs="Arial"/>
          <w:sz w:val="20"/>
          <w:szCs w:val="20"/>
        </w:rPr>
        <w:t xml:space="preserve">für </w:t>
      </w:r>
      <w:r>
        <w:rPr>
          <w:rFonts w:ascii="Arial" w:eastAsia="Verdana" w:hAnsi="Arial" w:cs="Arial"/>
          <w:sz w:val="20"/>
          <w:szCs w:val="20"/>
        </w:rPr>
        <w:t>diese veränderten bzw. neuen</w:t>
      </w:r>
      <w:r w:rsidRPr="00CE4A54">
        <w:rPr>
          <w:rFonts w:ascii="Arial" w:eastAsia="Verdana" w:hAnsi="Arial" w:cs="Arial"/>
          <w:sz w:val="20"/>
          <w:szCs w:val="20"/>
        </w:rPr>
        <w:t xml:space="preserve"> Beschäftigung</w:t>
      </w:r>
      <w:r w:rsidRPr="00CE4A54">
        <w:rPr>
          <w:rFonts w:ascii="Arial" w:eastAsia="Verdana" w:hAnsi="Arial" w:cs="Arial"/>
          <w:sz w:val="20"/>
          <w:szCs w:val="20"/>
        </w:rPr>
        <w:t>s</w:t>
      </w:r>
      <w:r w:rsidRPr="00CE4A54">
        <w:rPr>
          <w:rFonts w:ascii="Arial" w:eastAsia="Verdana" w:hAnsi="Arial" w:cs="Arial"/>
          <w:sz w:val="20"/>
          <w:szCs w:val="20"/>
        </w:rPr>
        <w:t>möglichkeiten</w:t>
      </w:r>
      <w:r w:rsidR="00EE09BC">
        <w:rPr>
          <w:rFonts w:ascii="Arial" w:eastAsia="Verdana" w:hAnsi="Arial" w:cs="Arial"/>
          <w:sz w:val="20"/>
          <w:szCs w:val="20"/>
        </w:rPr>
        <w:t xml:space="preserve"> benötigt werde</w:t>
      </w:r>
      <w:r w:rsidR="001E1ED0">
        <w:rPr>
          <w:rFonts w:ascii="Arial" w:eastAsia="Verdana" w:hAnsi="Arial" w:cs="Arial"/>
          <w:sz w:val="20"/>
          <w:szCs w:val="20"/>
        </w:rPr>
        <w:t>n, wird derzeit in nur wenigen</w:t>
      </w:r>
      <w:r w:rsidR="005D3788">
        <w:rPr>
          <w:rFonts w:ascii="Arial" w:eastAsia="Verdana" w:hAnsi="Arial" w:cs="Arial"/>
          <w:sz w:val="20"/>
          <w:szCs w:val="20"/>
        </w:rPr>
        <w:t xml:space="preserve"> geförderten Projekten erforscht</w:t>
      </w:r>
      <w:r>
        <w:rPr>
          <w:rFonts w:ascii="Arial" w:eastAsia="Verdana" w:hAnsi="Arial" w:cs="Arial"/>
          <w:sz w:val="20"/>
          <w:szCs w:val="20"/>
        </w:rPr>
        <w:t xml:space="preserve">. </w:t>
      </w:r>
      <w:r w:rsidR="005D3788">
        <w:rPr>
          <w:rFonts w:ascii="Arial" w:eastAsia="Verdana" w:hAnsi="Arial" w:cs="Arial"/>
          <w:sz w:val="20"/>
          <w:szCs w:val="20"/>
        </w:rPr>
        <w:t>Umse</w:t>
      </w:r>
      <w:r w:rsidR="005D3788">
        <w:rPr>
          <w:rFonts w:ascii="Arial" w:eastAsia="Verdana" w:hAnsi="Arial" w:cs="Arial"/>
          <w:sz w:val="20"/>
          <w:szCs w:val="20"/>
        </w:rPr>
        <w:t>t</w:t>
      </w:r>
      <w:r w:rsidR="005D3788">
        <w:rPr>
          <w:rFonts w:ascii="Arial" w:eastAsia="Verdana" w:hAnsi="Arial" w:cs="Arial"/>
          <w:sz w:val="20"/>
          <w:szCs w:val="20"/>
        </w:rPr>
        <w:t>zungsszenarien lassen sich bisher noch als Forschungsdesiderat einschätzen, wobei genau diese - im Sinne von guter Praxis für die berufliche Aus- und Weiterbildung - für eine kontinuierliche und nachha</w:t>
      </w:r>
      <w:r w:rsidR="005D3788">
        <w:rPr>
          <w:rFonts w:ascii="Arial" w:eastAsia="Verdana" w:hAnsi="Arial" w:cs="Arial"/>
          <w:sz w:val="20"/>
          <w:szCs w:val="20"/>
        </w:rPr>
        <w:t>l</w:t>
      </w:r>
      <w:r w:rsidR="005D3788">
        <w:rPr>
          <w:rFonts w:ascii="Arial" w:eastAsia="Verdana" w:hAnsi="Arial" w:cs="Arial"/>
          <w:sz w:val="20"/>
          <w:szCs w:val="20"/>
        </w:rPr>
        <w:t xml:space="preserve">tige Implementation benötigt werden. </w:t>
      </w:r>
      <w:r>
        <w:rPr>
          <w:rFonts w:ascii="Arial" w:eastAsia="Verdana" w:hAnsi="Arial" w:cs="Arial"/>
          <w:sz w:val="20"/>
          <w:szCs w:val="20"/>
        </w:rPr>
        <w:t xml:space="preserve">Die höhere Berufsbildung kann </w:t>
      </w:r>
      <w:r w:rsidR="005D3788">
        <w:rPr>
          <w:rFonts w:ascii="Arial" w:eastAsia="Verdana" w:hAnsi="Arial" w:cs="Arial"/>
          <w:sz w:val="20"/>
          <w:szCs w:val="20"/>
        </w:rPr>
        <w:t>auf Grund von niederschwelligen</w:t>
      </w:r>
      <w:r w:rsidR="00EE09BC">
        <w:rPr>
          <w:rFonts w:ascii="Arial" w:eastAsia="Verdana" w:hAnsi="Arial" w:cs="Arial"/>
          <w:sz w:val="20"/>
          <w:szCs w:val="20"/>
        </w:rPr>
        <w:t xml:space="preserve"> gestalterischen Freiheitsgraden </w:t>
      </w:r>
      <w:r>
        <w:rPr>
          <w:rFonts w:ascii="Arial" w:eastAsia="Verdana" w:hAnsi="Arial" w:cs="Arial"/>
          <w:sz w:val="20"/>
          <w:szCs w:val="20"/>
        </w:rPr>
        <w:t xml:space="preserve">dynamischer auf Veränderungen </w:t>
      </w:r>
      <w:r w:rsidR="00885401">
        <w:rPr>
          <w:rFonts w:ascii="Arial" w:eastAsia="Verdana" w:hAnsi="Arial" w:cs="Arial"/>
          <w:sz w:val="20"/>
          <w:szCs w:val="20"/>
        </w:rPr>
        <w:t xml:space="preserve">in der Erwerbsarbeit </w:t>
      </w:r>
      <w:r>
        <w:rPr>
          <w:rFonts w:ascii="Arial" w:eastAsia="Verdana" w:hAnsi="Arial" w:cs="Arial"/>
          <w:sz w:val="20"/>
          <w:szCs w:val="20"/>
        </w:rPr>
        <w:t>reagieren. Im Mittelpunkt dieses Vorhabens steht daher die Frage:</w:t>
      </w:r>
    </w:p>
    <w:p w14:paraId="5C38D9F5" w14:textId="57182053" w:rsidR="00B65157" w:rsidRDefault="00B65157" w:rsidP="00C11B2B">
      <w:pPr>
        <w:spacing w:before="10" w:after="0" w:line="360" w:lineRule="auto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Wie l</w:t>
      </w:r>
      <w:r w:rsidR="00CE4A54" w:rsidRPr="00CE4A54">
        <w:rPr>
          <w:rFonts w:ascii="Arial" w:eastAsia="Verdana" w:hAnsi="Arial" w:cs="Arial"/>
          <w:b/>
          <w:sz w:val="20"/>
          <w:szCs w:val="20"/>
        </w:rPr>
        <w:t xml:space="preserve">ässt sich ein </w:t>
      </w:r>
      <w:r w:rsidR="006571D5">
        <w:rPr>
          <w:rFonts w:ascii="Arial" w:eastAsia="Verdana" w:hAnsi="Arial" w:cs="Arial"/>
          <w:b/>
          <w:sz w:val="20"/>
          <w:szCs w:val="20"/>
        </w:rPr>
        <w:t>Modul zur Förderung einer „Netzkompetenz“ für eine digitalisierte Arbeit</w:t>
      </w:r>
      <w:r w:rsidR="006571D5">
        <w:rPr>
          <w:rFonts w:ascii="Arial" w:eastAsia="Verdana" w:hAnsi="Arial" w:cs="Arial"/>
          <w:b/>
          <w:sz w:val="20"/>
          <w:szCs w:val="20"/>
        </w:rPr>
        <w:t>s</w:t>
      </w:r>
      <w:r w:rsidR="006571D5">
        <w:rPr>
          <w:rFonts w:ascii="Arial" w:eastAsia="Verdana" w:hAnsi="Arial" w:cs="Arial"/>
          <w:b/>
          <w:sz w:val="20"/>
          <w:szCs w:val="20"/>
        </w:rPr>
        <w:t>welt 4.0 in der</w:t>
      </w:r>
      <w:r w:rsidR="00BA4784">
        <w:rPr>
          <w:rFonts w:ascii="Arial" w:eastAsia="Verdana" w:hAnsi="Arial" w:cs="Arial"/>
          <w:b/>
          <w:sz w:val="20"/>
          <w:szCs w:val="20"/>
        </w:rPr>
        <w:t xml:space="preserve"> höhe</w:t>
      </w:r>
      <w:r w:rsidR="003863BA">
        <w:rPr>
          <w:rFonts w:ascii="Arial" w:eastAsia="Verdana" w:hAnsi="Arial" w:cs="Arial"/>
          <w:b/>
          <w:sz w:val="20"/>
          <w:szCs w:val="20"/>
        </w:rPr>
        <w:t>re</w:t>
      </w:r>
      <w:r w:rsidR="006571D5">
        <w:rPr>
          <w:rFonts w:ascii="Arial" w:eastAsia="Verdana" w:hAnsi="Arial" w:cs="Arial"/>
          <w:b/>
          <w:sz w:val="20"/>
          <w:szCs w:val="20"/>
        </w:rPr>
        <w:t>n</w:t>
      </w:r>
      <w:r w:rsidR="003863BA">
        <w:rPr>
          <w:rFonts w:ascii="Arial" w:eastAsia="Verdana" w:hAnsi="Arial" w:cs="Arial"/>
          <w:b/>
          <w:sz w:val="20"/>
          <w:szCs w:val="20"/>
        </w:rPr>
        <w:t xml:space="preserve"> berufliche</w:t>
      </w:r>
      <w:r w:rsidR="006571D5">
        <w:rPr>
          <w:rFonts w:ascii="Arial" w:eastAsia="Verdana" w:hAnsi="Arial" w:cs="Arial"/>
          <w:b/>
          <w:sz w:val="20"/>
          <w:szCs w:val="20"/>
        </w:rPr>
        <w:t>n</w:t>
      </w:r>
      <w:r w:rsidR="003863BA">
        <w:rPr>
          <w:rFonts w:ascii="Arial" w:eastAsia="Verdana" w:hAnsi="Arial" w:cs="Arial"/>
          <w:b/>
          <w:sz w:val="20"/>
          <w:szCs w:val="20"/>
        </w:rPr>
        <w:t xml:space="preserve"> B</w:t>
      </w:r>
      <w:r w:rsidR="00BA4784">
        <w:rPr>
          <w:rFonts w:ascii="Arial" w:eastAsia="Verdana" w:hAnsi="Arial" w:cs="Arial"/>
          <w:b/>
          <w:sz w:val="20"/>
          <w:szCs w:val="20"/>
        </w:rPr>
        <w:t>ildung</w:t>
      </w:r>
      <w:r w:rsidR="00CE4A54" w:rsidRPr="00CE4A54">
        <w:rPr>
          <w:rFonts w:ascii="Arial" w:eastAsia="Verdana" w:hAnsi="Arial" w:cs="Arial"/>
          <w:b/>
          <w:sz w:val="20"/>
          <w:szCs w:val="20"/>
        </w:rPr>
        <w:t xml:space="preserve"> </w:t>
      </w:r>
      <w:r w:rsidR="00BA4784">
        <w:rPr>
          <w:rFonts w:ascii="Arial" w:eastAsia="Verdana" w:hAnsi="Arial" w:cs="Arial"/>
          <w:b/>
          <w:sz w:val="20"/>
          <w:szCs w:val="20"/>
        </w:rPr>
        <w:t xml:space="preserve">im europäischen Kontext </w:t>
      </w:r>
      <w:r w:rsidR="00CE4A54" w:rsidRPr="00CE4A54">
        <w:rPr>
          <w:rFonts w:ascii="Arial" w:eastAsia="Verdana" w:hAnsi="Arial" w:cs="Arial"/>
          <w:b/>
          <w:sz w:val="20"/>
          <w:szCs w:val="20"/>
        </w:rPr>
        <w:t xml:space="preserve">gestalten und </w:t>
      </w:r>
      <w:r>
        <w:rPr>
          <w:rFonts w:ascii="Arial" w:eastAsia="Verdana" w:hAnsi="Arial" w:cs="Arial"/>
          <w:b/>
          <w:sz w:val="20"/>
          <w:szCs w:val="20"/>
        </w:rPr>
        <w:t>in vorha</w:t>
      </w:r>
      <w:r>
        <w:rPr>
          <w:rFonts w:ascii="Arial" w:eastAsia="Verdana" w:hAnsi="Arial" w:cs="Arial"/>
          <w:b/>
          <w:sz w:val="20"/>
          <w:szCs w:val="20"/>
        </w:rPr>
        <w:t>n</w:t>
      </w:r>
      <w:r>
        <w:rPr>
          <w:rFonts w:ascii="Arial" w:eastAsia="Verdana" w:hAnsi="Arial" w:cs="Arial"/>
          <w:b/>
          <w:sz w:val="20"/>
          <w:szCs w:val="20"/>
        </w:rPr>
        <w:t xml:space="preserve">dene bzw. neu zu arrangierende Profile </w:t>
      </w:r>
      <w:r w:rsidR="00CE4A54" w:rsidRPr="00CE4A54">
        <w:rPr>
          <w:rFonts w:ascii="Arial" w:eastAsia="Verdana" w:hAnsi="Arial" w:cs="Arial"/>
          <w:b/>
          <w:sz w:val="20"/>
          <w:szCs w:val="20"/>
        </w:rPr>
        <w:t>implementieren</w:t>
      </w:r>
      <w:r w:rsidR="00BA4784">
        <w:rPr>
          <w:rFonts w:ascii="Arial" w:eastAsia="Verdana" w:hAnsi="Arial" w:cs="Arial"/>
          <w:b/>
          <w:sz w:val="20"/>
          <w:szCs w:val="20"/>
        </w:rPr>
        <w:t xml:space="preserve"> und zertifizieren</w:t>
      </w:r>
      <w:r w:rsidR="00CE4A54" w:rsidRPr="00CE4A54">
        <w:rPr>
          <w:rFonts w:ascii="Arial" w:eastAsia="Verdana" w:hAnsi="Arial" w:cs="Arial"/>
          <w:b/>
          <w:sz w:val="20"/>
          <w:szCs w:val="20"/>
        </w:rPr>
        <w:t>.</w:t>
      </w:r>
    </w:p>
    <w:p w14:paraId="0C0E6852" w14:textId="2703628B" w:rsidR="00965E66" w:rsidRDefault="00B65157" w:rsidP="007656A8">
      <w:pPr>
        <w:spacing w:before="10"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Die </w:t>
      </w:r>
      <w:r w:rsidR="00CE4A54">
        <w:rPr>
          <w:rFonts w:ascii="Arial" w:eastAsia="Verdana" w:hAnsi="Arial" w:cs="Arial"/>
          <w:sz w:val="20"/>
          <w:szCs w:val="20"/>
        </w:rPr>
        <w:t xml:space="preserve">Bildungsgangarbeit an Einrichtungen der beruflichen Bildung sollte </w:t>
      </w:r>
      <w:r>
        <w:rPr>
          <w:rFonts w:ascii="Arial" w:eastAsia="Verdana" w:hAnsi="Arial" w:cs="Arial"/>
          <w:sz w:val="20"/>
          <w:szCs w:val="20"/>
        </w:rPr>
        <w:t xml:space="preserve">dabei </w:t>
      </w:r>
      <w:r w:rsidR="00CE4A54">
        <w:rPr>
          <w:rFonts w:ascii="Arial" w:eastAsia="Verdana" w:hAnsi="Arial" w:cs="Arial"/>
          <w:sz w:val="20"/>
          <w:szCs w:val="20"/>
        </w:rPr>
        <w:t xml:space="preserve">einigen </w:t>
      </w:r>
      <w:r>
        <w:rPr>
          <w:rFonts w:ascii="Arial" w:eastAsia="Verdana" w:hAnsi="Arial" w:cs="Arial"/>
          <w:sz w:val="20"/>
          <w:szCs w:val="20"/>
        </w:rPr>
        <w:t>Grundprinzipien folgen. Methodisch wird daher ein situiertes, partizipa</w:t>
      </w:r>
      <w:r w:rsidR="005D3788">
        <w:rPr>
          <w:rFonts w:ascii="Arial" w:eastAsia="Verdana" w:hAnsi="Arial" w:cs="Arial"/>
          <w:sz w:val="20"/>
          <w:szCs w:val="20"/>
        </w:rPr>
        <w:t>tives und adaptives</w:t>
      </w:r>
      <w:r>
        <w:rPr>
          <w:rFonts w:ascii="Arial" w:eastAsia="Verdana" w:hAnsi="Arial" w:cs="Arial"/>
          <w:sz w:val="20"/>
          <w:szCs w:val="20"/>
        </w:rPr>
        <w:t xml:space="preserve"> Vorgehen entworfen. </w:t>
      </w:r>
      <w:r w:rsidR="00F46020">
        <w:rPr>
          <w:rFonts w:ascii="Arial" w:eastAsia="Verdana" w:hAnsi="Arial" w:cs="Arial"/>
          <w:sz w:val="20"/>
          <w:szCs w:val="20"/>
        </w:rPr>
        <w:t>Mit</w:t>
      </w:r>
      <w:r w:rsidR="00F46020" w:rsidRPr="00F46020">
        <w:rPr>
          <w:rFonts w:ascii="Arial" w:eastAsia="Verdana" w:hAnsi="Arial" w:cs="Arial"/>
          <w:sz w:val="20"/>
          <w:szCs w:val="20"/>
        </w:rPr>
        <w:t xml:space="preserve"> empirischen Erhebung</w:t>
      </w:r>
      <w:r w:rsidR="00F46020">
        <w:rPr>
          <w:rFonts w:ascii="Arial" w:eastAsia="Verdana" w:hAnsi="Arial" w:cs="Arial"/>
          <w:sz w:val="20"/>
          <w:szCs w:val="20"/>
        </w:rPr>
        <w:t>en</w:t>
      </w:r>
      <w:r w:rsidR="00F46020" w:rsidRPr="00F46020">
        <w:rPr>
          <w:rFonts w:ascii="Arial" w:eastAsia="Verdana" w:hAnsi="Arial" w:cs="Arial"/>
          <w:sz w:val="20"/>
          <w:szCs w:val="20"/>
        </w:rPr>
        <w:t>, die auf der Grundla</w:t>
      </w:r>
      <w:r w:rsidR="005D3788">
        <w:rPr>
          <w:rFonts w:ascii="Arial" w:eastAsia="Verdana" w:hAnsi="Arial" w:cs="Arial"/>
          <w:sz w:val="20"/>
          <w:szCs w:val="20"/>
        </w:rPr>
        <w:t>ge einer</w:t>
      </w:r>
      <w:r w:rsidR="00F46020" w:rsidRPr="00F46020">
        <w:rPr>
          <w:rFonts w:ascii="Arial" w:eastAsia="Verdana" w:hAnsi="Arial" w:cs="Arial"/>
          <w:sz w:val="20"/>
          <w:szCs w:val="20"/>
        </w:rPr>
        <w:t xml:space="preserve"> Vorgehenswe</w:t>
      </w:r>
      <w:r w:rsidR="00F46020">
        <w:rPr>
          <w:rFonts w:ascii="Arial" w:eastAsia="Verdana" w:hAnsi="Arial" w:cs="Arial"/>
          <w:sz w:val="20"/>
          <w:szCs w:val="20"/>
        </w:rPr>
        <w:t>ise, die ange</w:t>
      </w:r>
      <w:r w:rsidR="00F46020" w:rsidRPr="00F46020">
        <w:rPr>
          <w:rFonts w:ascii="Arial" w:eastAsia="Verdana" w:hAnsi="Arial" w:cs="Arial"/>
          <w:sz w:val="20"/>
          <w:szCs w:val="20"/>
        </w:rPr>
        <w:t>lehnt ist an die M</w:t>
      </w:r>
      <w:r w:rsidR="00F46020" w:rsidRPr="00F46020">
        <w:rPr>
          <w:rFonts w:ascii="Arial" w:eastAsia="Verdana" w:hAnsi="Arial" w:cs="Arial"/>
          <w:sz w:val="20"/>
          <w:szCs w:val="20"/>
        </w:rPr>
        <w:t>e</w:t>
      </w:r>
      <w:r w:rsidR="00F46020" w:rsidRPr="00F46020">
        <w:rPr>
          <w:rFonts w:ascii="Arial" w:eastAsia="Verdana" w:hAnsi="Arial" w:cs="Arial"/>
          <w:sz w:val="20"/>
          <w:szCs w:val="20"/>
        </w:rPr>
        <w:t xml:space="preserve">thode „Visual </w:t>
      </w:r>
      <w:proofErr w:type="spellStart"/>
      <w:r w:rsidR="00F46020" w:rsidRPr="00F46020">
        <w:rPr>
          <w:rFonts w:ascii="Arial" w:eastAsia="Verdana" w:hAnsi="Arial" w:cs="Arial"/>
          <w:sz w:val="20"/>
          <w:szCs w:val="20"/>
        </w:rPr>
        <w:t>Roadmapping</w:t>
      </w:r>
      <w:proofErr w:type="spellEnd"/>
      <w:r w:rsidR="00F46020" w:rsidRPr="00F46020">
        <w:rPr>
          <w:rFonts w:ascii="Arial" w:eastAsia="Verdana" w:hAnsi="Arial" w:cs="Arial"/>
          <w:sz w:val="20"/>
          <w:szCs w:val="20"/>
        </w:rPr>
        <w:t>“</w:t>
      </w:r>
      <w:r w:rsidR="00EE5331">
        <w:rPr>
          <w:rFonts w:ascii="Arial" w:eastAsia="Verdana" w:hAnsi="Arial" w:cs="Arial"/>
          <w:sz w:val="20"/>
          <w:szCs w:val="20"/>
        </w:rPr>
        <w:t>,</w:t>
      </w:r>
      <w:r w:rsidR="00F46020" w:rsidRPr="00F46020">
        <w:rPr>
          <w:rFonts w:ascii="Arial" w:eastAsia="Verdana" w:hAnsi="Arial" w:cs="Arial"/>
          <w:sz w:val="20"/>
          <w:szCs w:val="20"/>
        </w:rPr>
        <w:t xml:space="preserve"> </w:t>
      </w:r>
      <w:r w:rsidR="00F46020">
        <w:rPr>
          <w:rFonts w:ascii="Arial" w:eastAsia="Verdana" w:hAnsi="Arial" w:cs="Arial"/>
          <w:sz w:val="20"/>
          <w:szCs w:val="20"/>
        </w:rPr>
        <w:t xml:space="preserve">werden in den Partnerschulen situiert und partizipativ </w:t>
      </w:r>
      <w:r w:rsidR="003863BA">
        <w:rPr>
          <w:rFonts w:ascii="Arial" w:eastAsia="Verdana" w:hAnsi="Arial" w:cs="Arial"/>
          <w:sz w:val="20"/>
          <w:szCs w:val="20"/>
        </w:rPr>
        <w:t xml:space="preserve">- gemeinsam als Verbund - </w:t>
      </w:r>
      <w:r w:rsidR="00F46020">
        <w:rPr>
          <w:rFonts w:ascii="Arial" w:eastAsia="Verdana" w:hAnsi="Arial" w:cs="Arial"/>
          <w:sz w:val="20"/>
          <w:szCs w:val="20"/>
        </w:rPr>
        <w:t xml:space="preserve">Szenarien für eine </w:t>
      </w:r>
      <w:r w:rsidR="00536752">
        <w:rPr>
          <w:rFonts w:ascii="Arial" w:eastAsia="Verdana" w:hAnsi="Arial" w:cs="Arial"/>
          <w:sz w:val="20"/>
          <w:szCs w:val="20"/>
        </w:rPr>
        <w:t>mögliche Umsetzung erarbeitet</w:t>
      </w:r>
      <w:r w:rsidR="003863BA">
        <w:rPr>
          <w:rFonts w:ascii="Arial" w:eastAsia="Verdana" w:hAnsi="Arial" w:cs="Arial"/>
          <w:sz w:val="20"/>
          <w:szCs w:val="20"/>
        </w:rPr>
        <w:t xml:space="preserve"> und gestaltet</w:t>
      </w:r>
      <w:r w:rsidR="00536752">
        <w:rPr>
          <w:rFonts w:ascii="Arial" w:eastAsia="Verdana" w:hAnsi="Arial" w:cs="Arial"/>
          <w:sz w:val="20"/>
          <w:szCs w:val="20"/>
        </w:rPr>
        <w:t>.</w:t>
      </w:r>
      <w:r w:rsidR="00711614">
        <w:rPr>
          <w:rFonts w:ascii="Arial" w:eastAsia="Verdana" w:hAnsi="Arial" w:cs="Arial"/>
          <w:sz w:val="20"/>
          <w:szCs w:val="20"/>
        </w:rPr>
        <w:t xml:space="preserve"> </w:t>
      </w:r>
      <w:r w:rsidR="006A7628">
        <w:rPr>
          <w:rFonts w:ascii="Arial" w:eastAsia="Verdana" w:hAnsi="Arial" w:cs="Arial"/>
          <w:sz w:val="20"/>
          <w:szCs w:val="20"/>
        </w:rPr>
        <w:t xml:space="preserve">Der Ansatz berücksichtigt </w:t>
      </w:r>
      <w:r w:rsidR="006A7628">
        <w:rPr>
          <w:rFonts w:ascii="Arial" w:eastAsia="Verdana" w:hAnsi="Arial" w:cs="Arial"/>
          <w:sz w:val="20"/>
          <w:szCs w:val="20"/>
        </w:rPr>
        <w:lastRenderedPageBreak/>
        <w:t>insbesondere die jeweilige Situation der Partner vor Ort und steht immer unter der Maßgabe, was können die jeweiligen Partner von und miteinander lernen. Im europäischen Kontext stehen die</w:t>
      </w:r>
      <w:r w:rsidR="00711614">
        <w:rPr>
          <w:rFonts w:ascii="Arial" w:eastAsia="Verdana" w:hAnsi="Arial" w:cs="Arial"/>
          <w:sz w:val="20"/>
          <w:szCs w:val="20"/>
        </w:rPr>
        <w:t xml:space="preserve"> </w:t>
      </w:r>
      <w:r w:rsidR="006A7628">
        <w:rPr>
          <w:rFonts w:ascii="Arial" w:eastAsia="Verdana" w:hAnsi="Arial" w:cs="Arial"/>
          <w:sz w:val="20"/>
          <w:szCs w:val="20"/>
        </w:rPr>
        <w:t>Förd</w:t>
      </w:r>
      <w:r w:rsidR="006A7628">
        <w:rPr>
          <w:rFonts w:ascii="Arial" w:eastAsia="Verdana" w:hAnsi="Arial" w:cs="Arial"/>
          <w:sz w:val="20"/>
          <w:szCs w:val="20"/>
        </w:rPr>
        <w:t>e</w:t>
      </w:r>
      <w:r w:rsidR="006A7628">
        <w:rPr>
          <w:rFonts w:ascii="Arial" w:eastAsia="Verdana" w:hAnsi="Arial" w:cs="Arial"/>
          <w:sz w:val="20"/>
          <w:szCs w:val="20"/>
        </w:rPr>
        <w:t xml:space="preserve">rung und langfristige Sicherstellung von </w:t>
      </w:r>
      <w:r w:rsidR="00711614">
        <w:rPr>
          <w:rFonts w:ascii="Arial" w:eastAsia="Verdana" w:hAnsi="Arial" w:cs="Arial"/>
          <w:sz w:val="20"/>
          <w:szCs w:val="20"/>
        </w:rPr>
        <w:t>wirtschaftliche</w:t>
      </w:r>
      <w:r w:rsidR="006A7628">
        <w:rPr>
          <w:rFonts w:ascii="Arial" w:eastAsia="Verdana" w:hAnsi="Arial" w:cs="Arial"/>
          <w:sz w:val="20"/>
          <w:szCs w:val="20"/>
        </w:rPr>
        <w:t>r</w:t>
      </w:r>
      <w:r w:rsidR="00711614">
        <w:rPr>
          <w:rFonts w:ascii="Arial" w:eastAsia="Verdana" w:hAnsi="Arial" w:cs="Arial"/>
          <w:sz w:val="20"/>
          <w:szCs w:val="20"/>
        </w:rPr>
        <w:t xml:space="preserve"> Te</w:t>
      </w:r>
      <w:r w:rsidR="003863BA">
        <w:rPr>
          <w:rFonts w:ascii="Arial" w:eastAsia="Verdana" w:hAnsi="Arial" w:cs="Arial"/>
          <w:sz w:val="20"/>
          <w:szCs w:val="20"/>
        </w:rPr>
        <w:t>il</w:t>
      </w:r>
      <w:r w:rsidR="00711614">
        <w:rPr>
          <w:rFonts w:ascii="Arial" w:eastAsia="Verdana" w:hAnsi="Arial" w:cs="Arial"/>
          <w:sz w:val="20"/>
          <w:szCs w:val="20"/>
        </w:rPr>
        <w:t>habe und Wettbewerbsfähi</w:t>
      </w:r>
      <w:r w:rsidR="003863BA">
        <w:rPr>
          <w:rFonts w:ascii="Arial" w:eastAsia="Verdana" w:hAnsi="Arial" w:cs="Arial"/>
          <w:sz w:val="20"/>
          <w:szCs w:val="20"/>
        </w:rPr>
        <w:t>g</w:t>
      </w:r>
      <w:r w:rsidR="006A7628">
        <w:rPr>
          <w:rFonts w:ascii="Arial" w:eastAsia="Verdana" w:hAnsi="Arial" w:cs="Arial"/>
          <w:sz w:val="20"/>
          <w:szCs w:val="20"/>
        </w:rPr>
        <w:t>keit auf der Agenda des Projektverbundes.</w:t>
      </w:r>
      <w:r w:rsidR="00F46020" w:rsidRPr="00F46020">
        <w:rPr>
          <w:rFonts w:ascii="Arial" w:eastAsia="Verdana" w:hAnsi="Arial" w:cs="Arial"/>
          <w:sz w:val="20"/>
          <w:szCs w:val="20"/>
        </w:rPr>
        <w:t xml:space="preserve"> </w:t>
      </w:r>
      <w:r w:rsidR="006A7628">
        <w:rPr>
          <w:rFonts w:ascii="Arial" w:eastAsia="Verdana" w:hAnsi="Arial" w:cs="Arial"/>
          <w:sz w:val="20"/>
          <w:szCs w:val="20"/>
        </w:rPr>
        <w:t>E</w:t>
      </w:r>
      <w:r w:rsidR="00536752">
        <w:rPr>
          <w:rFonts w:ascii="Arial" w:eastAsia="Verdana" w:hAnsi="Arial" w:cs="Arial"/>
          <w:sz w:val="20"/>
          <w:szCs w:val="20"/>
        </w:rPr>
        <w:t xml:space="preserve">ine von den Praxisexperten gemeinsam erarbeitete adaptive </w:t>
      </w:r>
      <w:r w:rsidR="00C04C82">
        <w:rPr>
          <w:rFonts w:ascii="Arial" w:eastAsia="Verdana" w:hAnsi="Arial" w:cs="Arial"/>
          <w:sz w:val="20"/>
          <w:szCs w:val="20"/>
        </w:rPr>
        <w:t>mögl</w:t>
      </w:r>
      <w:r w:rsidR="00C04C82">
        <w:rPr>
          <w:rFonts w:ascii="Arial" w:eastAsia="Verdana" w:hAnsi="Arial" w:cs="Arial"/>
          <w:sz w:val="20"/>
          <w:szCs w:val="20"/>
        </w:rPr>
        <w:t>i</w:t>
      </w:r>
      <w:r w:rsidR="00C04C82">
        <w:rPr>
          <w:rFonts w:ascii="Arial" w:eastAsia="Verdana" w:hAnsi="Arial" w:cs="Arial"/>
          <w:sz w:val="20"/>
          <w:szCs w:val="20"/>
        </w:rPr>
        <w:t>ch</w:t>
      </w:r>
      <w:r w:rsidR="005D3788">
        <w:rPr>
          <w:rFonts w:ascii="Arial" w:eastAsia="Verdana" w:hAnsi="Arial" w:cs="Arial"/>
          <w:sz w:val="20"/>
          <w:szCs w:val="20"/>
        </w:rPr>
        <w:t xml:space="preserve">e Umsetzung </w:t>
      </w:r>
      <w:r w:rsidR="006A7628">
        <w:rPr>
          <w:rFonts w:ascii="Arial" w:eastAsia="Verdana" w:hAnsi="Arial" w:cs="Arial"/>
          <w:sz w:val="20"/>
          <w:szCs w:val="20"/>
        </w:rPr>
        <w:t xml:space="preserve">im Sinne von Best Practice wird </w:t>
      </w:r>
      <w:r w:rsidR="005D3788">
        <w:rPr>
          <w:rFonts w:ascii="Arial" w:eastAsia="Verdana" w:hAnsi="Arial" w:cs="Arial"/>
          <w:sz w:val="20"/>
          <w:szCs w:val="20"/>
        </w:rPr>
        <w:t>entwickelt. Die thematische Einheit wird</w:t>
      </w:r>
      <w:r w:rsidR="00141998">
        <w:rPr>
          <w:rFonts w:ascii="Arial" w:eastAsia="Verdana" w:hAnsi="Arial" w:cs="Arial"/>
          <w:sz w:val="20"/>
          <w:szCs w:val="20"/>
        </w:rPr>
        <w:t xml:space="preserve"> in der U</w:t>
      </w:r>
      <w:r w:rsidR="00141998">
        <w:rPr>
          <w:rFonts w:ascii="Arial" w:eastAsia="Verdana" w:hAnsi="Arial" w:cs="Arial"/>
          <w:sz w:val="20"/>
          <w:szCs w:val="20"/>
        </w:rPr>
        <w:t>m</w:t>
      </w:r>
      <w:r w:rsidR="00141998">
        <w:rPr>
          <w:rFonts w:ascii="Arial" w:eastAsia="Verdana" w:hAnsi="Arial" w:cs="Arial"/>
          <w:sz w:val="20"/>
          <w:szCs w:val="20"/>
        </w:rPr>
        <w:t>setzung vor O</w:t>
      </w:r>
      <w:r w:rsidR="00C04C82">
        <w:rPr>
          <w:rFonts w:ascii="Arial" w:eastAsia="Verdana" w:hAnsi="Arial" w:cs="Arial"/>
          <w:sz w:val="20"/>
          <w:szCs w:val="20"/>
        </w:rPr>
        <w:t>rt an den Schulen erprobt</w:t>
      </w:r>
      <w:r w:rsidR="005D3788">
        <w:rPr>
          <w:rFonts w:ascii="Arial" w:eastAsia="Verdana" w:hAnsi="Arial" w:cs="Arial"/>
          <w:sz w:val="20"/>
          <w:szCs w:val="20"/>
        </w:rPr>
        <w:t>, evaluiert und nachhaltig in die Bildungsgänge implementiert und zertifiziert</w:t>
      </w:r>
      <w:r w:rsidR="00C04C82">
        <w:rPr>
          <w:rFonts w:ascii="Arial" w:eastAsia="Verdana" w:hAnsi="Arial" w:cs="Arial"/>
          <w:sz w:val="20"/>
          <w:szCs w:val="20"/>
        </w:rPr>
        <w:t xml:space="preserve">. </w:t>
      </w:r>
      <w:r w:rsidR="00141998">
        <w:rPr>
          <w:rFonts w:ascii="Arial" w:eastAsia="Verdana" w:hAnsi="Arial" w:cs="Arial"/>
          <w:sz w:val="20"/>
          <w:szCs w:val="20"/>
        </w:rPr>
        <w:t xml:space="preserve">Durch die enge Kooperation der </w:t>
      </w:r>
      <w:r w:rsidR="003863BA">
        <w:rPr>
          <w:rFonts w:ascii="Arial" w:eastAsia="Verdana" w:hAnsi="Arial" w:cs="Arial"/>
          <w:sz w:val="20"/>
          <w:szCs w:val="20"/>
        </w:rPr>
        <w:t>Partnerinstitutionen</w:t>
      </w:r>
      <w:r w:rsidR="00141998">
        <w:rPr>
          <w:rFonts w:ascii="Arial" w:eastAsia="Verdana" w:hAnsi="Arial" w:cs="Arial"/>
          <w:sz w:val="20"/>
          <w:szCs w:val="20"/>
        </w:rPr>
        <w:t xml:space="preserve"> mit Partnerbetrieben werden durch berufswissenschaftliche Zugänge Kompetenzanforderungen extrahiert und berufsdidaktisch aufbereitet.</w:t>
      </w:r>
      <w:r w:rsidR="002763EC">
        <w:rPr>
          <w:rFonts w:ascii="Arial" w:eastAsia="Verdana" w:hAnsi="Arial" w:cs="Arial"/>
          <w:sz w:val="20"/>
          <w:szCs w:val="20"/>
        </w:rPr>
        <w:t xml:space="preserve"> Am Ende des Projekte</w:t>
      </w:r>
      <w:r w:rsidR="00F702DD">
        <w:rPr>
          <w:rFonts w:ascii="Arial" w:eastAsia="Verdana" w:hAnsi="Arial" w:cs="Arial"/>
          <w:sz w:val="20"/>
          <w:szCs w:val="20"/>
        </w:rPr>
        <w:t>s steht ein zertifiziert</w:t>
      </w:r>
      <w:r w:rsidR="002763EC">
        <w:rPr>
          <w:rFonts w:ascii="Arial" w:eastAsia="Verdana" w:hAnsi="Arial" w:cs="Arial"/>
          <w:sz w:val="20"/>
          <w:szCs w:val="20"/>
        </w:rPr>
        <w:t>es Modul zur „Netzkompetenz“ für eine digital</w:t>
      </w:r>
      <w:r w:rsidR="002763EC">
        <w:rPr>
          <w:rFonts w:ascii="Arial" w:eastAsia="Verdana" w:hAnsi="Arial" w:cs="Arial"/>
          <w:sz w:val="20"/>
          <w:szCs w:val="20"/>
        </w:rPr>
        <w:t>i</w:t>
      </w:r>
      <w:r w:rsidR="002763EC">
        <w:rPr>
          <w:rFonts w:ascii="Arial" w:eastAsia="Verdana" w:hAnsi="Arial" w:cs="Arial"/>
          <w:sz w:val="20"/>
          <w:szCs w:val="20"/>
        </w:rPr>
        <w:t xml:space="preserve">sierte Arbeitswelt der Industrie 4.0. </w:t>
      </w:r>
      <w:r w:rsidR="00F702DD">
        <w:rPr>
          <w:rFonts w:ascii="Arial" w:eastAsia="Verdana" w:hAnsi="Arial" w:cs="Arial"/>
          <w:sz w:val="20"/>
          <w:szCs w:val="20"/>
        </w:rPr>
        <w:t>Die Lernenden können dadurch ihr individuelles Portfolio erweitern und die eigene Attraktivität auf dem Arbeitsmarkt der höheren beruflichen nicht-akademischen Bildung erhöhen.</w:t>
      </w:r>
      <w:r w:rsidR="00BC475E">
        <w:rPr>
          <w:rFonts w:ascii="Arial" w:eastAsia="Verdana" w:hAnsi="Arial" w:cs="Arial"/>
          <w:sz w:val="20"/>
          <w:szCs w:val="20"/>
        </w:rPr>
        <w:t xml:space="preserve"> </w:t>
      </w:r>
      <w:r w:rsidR="007B2EF3">
        <w:rPr>
          <w:rFonts w:ascii="Arial" w:eastAsia="Verdana" w:hAnsi="Arial" w:cs="Arial"/>
          <w:sz w:val="20"/>
          <w:szCs w:val="20"/>
        </w:rPr>
        <w:t>Die Bildungsanbieter innovieren ihre schulinternen Curricula und leisten damit eine nachha</w:t>
      </w:r>
      <w:r w:rsidR="007B2EF3">
        <w:rPr>
          <w:rFonts w:ascii="Arial" w:eastAsia="Verdana" w:hAnsi="Arial" w:cs="Arial"/>
          <w:sz w:val="20"/>
          <w:szCs w:val="20"/>
        </w:rPr>
        <w:t>l</w:t>
      </w:r>
      <w:r w:rsidR="007B2EF3">
        <w:rPr>
          <w:rFonts w:ascii="Arial" w:eastAsia="Verdana" w:hAnsi="Arial" w:cs="Arial"/>
          <w:sz w:val="20"/>
          <w:szCs w:val="20"/>
        </w:rPr>
        <w:t>tige Bildungsgangarbeit über verschiedene Schulformen und Bildungsgänge der beruflichen Bildung.</w:t>
      </w:r>
      <w:r w:rsidR="00F702DD">
        <w:rPr>
          <w:rFonts w:ascii="Arial" w:eastAsia="Verdana" w:hAnsi="Arial" w:cs="Arial"/>
          <w:sz w:val="20"/>
          <w:szCs w:val="20"/>
        </w:rPr>
        <w:t xml:space="preserve"> </w:t>
      </w:r>
      <w:r w:rsidR="00A06950">
        <w:rPr>
          <w:rFonts w:ascii="Arial" w:eastAsia="Verdana" w:hAnsi="Arial" w:cs="Arial"/>
          <w:sz w:val="20"/>
          <w:szCs w:val="20"/>
        </w:rPr>
        <w:t>Die europäischen Interessensvertretungen der höheren beruflichen Bildung stellen die Verbreitung und Nachhaltigkeit durch ihre regelmäßigen Tagungen sicher.</w:t>
      </w:r>
    </w:p>
    <w:p w14:paraId="1FC4BCE0" w14:textId="77777777" w:rsidR="003863BA" w:rsidRPr="007656A8" w:rsidRDefault="003863BA" w:rsidP="007656A8">
      <w:pPr>
        <w:spacing w:before="10" w:after="0" w:line="360" w:lineRule="auto"/>
        <w:jc w:val="both"/>
        <w:rPr>
          <w:rFonts w:ascii="Arial" w:eastAsia="Verdana" w:hAnsi="Arial" w:cs="Arial"/>
          <w:sz w:val="20"/>
          <w:szCs w:val="20"/>
        </w:rPr>
      </w:pPr>
    </w:p>
    <w:p w14:paraId="598EA1DC" w14:textId="77777777" w:rsidR="007537E5" w:rsidRDefault="002936F4" w:rsidP="00C11B2B">
      <w:pPr>
        <w:spacing w:after="0" w:line="360" w:lineRule="auto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3</w:t>
      </w:r>
      <w:r>
        <w:rPr>
          <w:rFonts w:ascii="Arial" w:eastAsia="Verdana" w:hAnsi="Arial" w:cs="Arial"/>
          <w:b/>
          <w:bCs/>
        </w:rPr>
        <w:tab/>
      </w:r>
      <w:r w:rsidR="00F54418" w:rsidRPr="00F54418">
        <w:rPr>
          <w:rFonts w:ascii="Arial" w:eastAsia="Verdana" w:hAnsi="Arial" w:cs="Arial"/>
          <w:b/>
          <w:bCs/>
        </w:rPr>
        <w:t>Ergebnisse und Produkte</w:t>
      </w:r>
    </w:p>
    <w:p w14:paraId="29404C95" w14:textId="3DC452BB" w:rsidR="00894C56" w:rsidRDefault="00C04C82" w:rsidP="007656A8">
      <w:pPr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 xml:space="preserve">Es wird ein </w:t>
      </w:r>
      <w:r w:rsidR="002B7D79">
        <w:rPr>
          <w:rFonts w:ascii="Arial" w:eastAsia="Verdana" w:hAnsi="Arial" w:cs="Arial"/>
          <w:bCs/>
          <w:sz w:val="20"/>
          <w:szCs w:val="20"/>
        </w:rPr>
        <w:t>Modul der beruflichen Weiter- und Fortbildung länderspezifisch auf den</w:t>
      </w:r>
      <w:r>
        <w:rPr>
          <w:rFonts w:ascii="Arial" w:eastAsia="Verdana" w:hAnsi="Arial" w:cs="Arial"/>
          <w:bCs/>
          <w:sz w:val="20"/>
          <w:szCs w:val="20"/>
        </w:rPr>
        <w:t xml:space="preserve"> Niveaustufen</w:t>
      </w:r>
      <w:r w:rsidRPr="00C04C82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2B7D79">
        <w:rPr>
          <w:rFonts w:ascii="Arial" w:eastAsia="Verdana" w:hAnsi="Arial" w:cs="Arial"/>
          <w:bCs/>
          <w:sz w:val="20"/>
          <w:szCs w:val="20"/>
        </w:rPr>
        <w:t xml:space="preserve">5 bzw. </w:t>
      </w:r>
      <w:r w:rsidRPr="00C04C82">
        <w:rPr>
          <w:rFonts w:ascii="Arial" w:eastAsia="Verdana" w:hAnsi="Arial" w:cs="Arial"/>
          <w:bCs/>
          <w:sz w:val="20"/>
          <w:szCs w:val="20"/>
        </w:rPr>
        <w:t xml:space="preserve">6 des </w:t>
      </w:r>
      <w:r w:rsidR="00141998">
        <w:rPr>
          <w:rFonts w:ascii="Arial" w:eastAsia="Verdana" w:hAnsi="Arial" w:cs="Arial"/>
          <w:bCs/>
          <w:sz w:val="20"/>
          <w:szCs w:val="20"/>
        </w:rPr>
        <w:t>EQR/</w:t>
      </w:r>
      <w:r w:rsidR="00D73A48">
        <w:rPr>
          <w:rFonts w:ascii="Arial" w:eastAsia="Verdana" w:hAnsi="Arial" w:cs="Arial"/>
          <w:bCs/>
          <w:sz w:val="20"/>
          <w:szCs w:val="20"/>
        </w:rPr>
        <w:t>N</w:t>
      </w:r>
      <w:r>
        <w:rPr>
          <w:rFonts w:ascii="Arial" w:eastAsia="Verdana" w:hAnsi="Arial" w:cs="Arial"/>
          <w:bCs/>
          <w:sz w:val="20"/>
          <w:szCs w:val="20"/>
        </w:rPr>
        <w:t>QR</w:t>
      </w:r>
      <w:r w:rsidR="00141998">
        <w:rPr>
          <w:rFonts w:ascii="Arial" w:eastAsia="Verdana" w:hAnsi="Arial" w:cs="Arial"/>
          <w:bCs/>
          <w:sz w:val="20"/>
          <w:szCs w:val="20"/>
        </w:rPr>
        <w:t xml:space="preserve"> entwickelt. </w:t>
      </w:r>
      <w:r w:rsidR="002B7D79">
        <w:rPr>
          <w:rFonts w:ascii="Arial" w:eastAsia="Verdana" w:hAnsi="Arial" w:cs="Arial"/>
          <w:bCs/>
          <w:sz w:val="20"/>
          <w:szCs w:val="20"/>
        </w:rPr>
        <w:t>Dieses Modul wird ein breites gemeinsames Verständnis für die Anforderungen in der digitalisierten Arbeitswelt auf der Grundlage einer sogenannten „Netzkomp</w:t>
      </w:r>
      <w:r w:rsidR="002B7D79">
        <w:rPr>
          <w:rFonts w:ascii="Arial" w:eastAsia="Verdana" w:hAnsi="Arial" w:cs="Arial"/>
          <w:bCs/>
          <w:sz w:val="20"/>
          <w:szCs w:val="20"/>
        </w:rPr>
        <w:t>e</w:t>
      </w:r>
      <w:r w:rsidR="002B7D79">
        <w:rPr>
          <w:rFonts w:ascii="Arial" w:eastAsia="Verdana" w:hAnsi="Arial" w:cs="Arial"/>
          <w:bCs/>
          <w:sz w:val="20"/>
          <w:szCs w:val="20"/>
        </w:rPr>
        <w:t>tenz“ in die Bildungsgänge der Partner implementieren</w:t>
      </w:r>
      <w:r w:rsidR="0041694C">
        <w:rPr>
          <w:rFonts w:ascii="Arial" w:eastAsia="Verdana" w:hAnsi="Arial" w:cs="Arial"/>
          <w:bCs/>
          <w:sz w:val="20"/>
          <w:szCs w:val="20"/>
        </w:rPr>
        <w:t>.</w:t>
      </w:r>
      <w:r w:rsidR="00141998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3E01ED">
        <w:rPr>
          <w:rFonts w:ascii="Arial" w:eastAsia="Verdana" w:hAnsi="Arial" w:cs="Arial"/>
          <w:bCs/>
          <w:sz w:val="20"/>
          <w:szCs w:val="20"/>
        </w:rPr>
        <w:t>Die</w:t>
      </w:r>
      <w:r w:rsidR="0041694C">
        <w:rPr>
          <w:rFonts w:ascii="Arial" w:eastAsia="Verdana" w:hAnsi="Arial" w:cs="Arial"/>
          <w:bCs/>
          <w:sz w:val="20"/>
          <w:szCs w:val="20"/>
        </w:rPr>
        <w:t xml:space="preserve"> curriculare Umsetzung wird </w:t>
      </w:r>
      <w:r w:rsidR="00D372F3">
        <w:rPr>
          <w:rFonts w:ascii="Arial" w:eastAsia="Verdana" w:hAnsi="Arial" w:cs="Arial"/>
          <w:bCs/>
          <w:sz w:val="20"/>
          <w:szCs w:val="20"/>
        </w:rPr>
        <w:t xml:space="preserve">partizipativ durch die Projektpartner </w:t>
      </w:r>
      <w:r w:rsidR="0041694C">
        <w:rPr>
          <w:rFonts w:ascii="Arial" w:eastAsia="Verdana" w:hAnsi="Arial" w:cs="Arial"/>
          <w:bCs/>
          <w:sz w:val="20"/>
          <w:szCs w:val="20"/>
        </w:rPr>
        <w:t>gestaltet</w:t>
      </w:r>
      <w:r w:rsidR="00D372F3">
        <w:rPr>
          <w:rFonts w:ascii="Arial" w:eastAsia="Verdana" w:hAnsi="Arial" w:cs="Arial"/>
          <w:bCs/>
          <w:sz w:val="20"/>
          <w:szCs w:val="20"/>
        </w:rPr>
        <w:t>, an den jeweiligen Orten erprobt und evaluiert.</w:t>
      </w:r>
      <w:r w:rsidR="0041694C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D372F3">
        <w:rPr>
          <w:rFonts w:ascii="Arial" w:eastAsia="Verdana" w:hAnsi="Arial" w:cs="Arial"/>
          <w:bCs/>
          <w:sz w:val="20"/>
          <w:szCs w:val="20"/>
        </w:rPr>
        <w:t>Gemeinsam werden die Evaluationen</w:t>
      </w:r>
      <w:r w:rsidR="00BA399E">
        <w:rPr>
          <w:rFonts w:ascii="Arial" w:eastAsia="Verdana" w:hAnsi="Arial" w:cs="Arial"/>
          <w:bCs/>
          <w:sz w:val="20"/>
          <w:szCs w:val="20"/>
        </w:rPr>
        <w:t xml:space="preserve"> genutzt</w:t>
      </w:r>
      <w:r w:rsidR="002913CD">
        <w:rPr>
          <w:rFonts w:ascii="Arial" w:eastAsia="Verdana" w:hAnsi="Arial" w:cs="Arial"/>
          <w:bCs/>
          <w:sz w:val="20"/>
          <w:szCs w:val="20"/>
        </w:rPr>
        <w:t>,</w:t>
      </w:r>
      <w:r w:rsidR="00BA399E">
        <w:rPr>
          <w:rFonts w:ascii="Arial" w:eastAsia="Verdana" w:hAnsi="Arial" w:cs="Arial"/>
          <w:bCs/>
          <w:sz w:val="20"/>
          <w:szCs w:val="20"/>
        </w:rPr>
        <w:t xml:space="preserve"> um ein</w:t>
      </w:r>
      <w:r w:rsidR="00D372F3">
        <w:rPr>
          <w:rFonts w:ascii="Arial" w:eastAsia="Verdana" w:hAnsi="Arial" w:cs="Arial"/>
          <w:bCs/>
          <w:sz w:val="20"/>
          <w:szCs w:val="20"/>
        </w:rPr>
        <w:t xml:space="preserve"> Modul </w:t>
      </w:r>
      <w:r w:rsidR="00BA399E">
        <w:rPr>
          <w:rFonts w:ascii="Arial" w:eastAsia="Verdana" w:hAnsi="Arial" w:cs="Arial"/>
          <w:bCs/>
          <w:sz w:val="20"/>
          <w:szCs w:val="20"/>
        </w:rPr>
        <w:t>zu kreieren, welches mit pädagogischen Freiheitsgraden b</w:t>
      </w:r>
      <w:r w:rsidR="00BA399E">
        <w:rPr>
          <w:rFonts w:ascii="Arial" w:eastAsia="Verdana" w:hAnsi="Arial" w:cs="Arial"/>
          <w:bCs/>
          <w:sz w:val="20"/>
          <w:szCs w:val="20"/>
        </w:rPr>
        <w:t>e</w:t>
      </w:r>
      <w:r w:rsidR="00BA399E">
        <w:rPr>
          <w:rFonts w:ascii="Arial" w:eastAsia="Verdana" w:hAnsi="Arial" w:cs="Arial"/>
          <w:bCs/>
          <w:sz w:val="20"/>
          <w:szCs w:val="20"/>
        </w:rPr>
        <w:t xml:space="preserve">legt, länderspezifische Besonderheiten aufnehmend und trotzdem </w:t>
      </w:r>
      <w:r w:rsidR="00894C56">
        <w:rPr>
          <w:rFonts w:ascii="Arial" w:eastAsia="Verdana" w:hAnsi="Arial" w:cs="Arial"/>
          <w:bCs/>
          <w:sz w:val="20"/>
          <w:szCs w:val="20"/>
        </w:rPr>
        <w:t>auf</w:t>
      </w:r>
      <w:r w:rsidR="00BA399E">
        <w:rPr>
          <w:rFonts w:ascii="Arial" w:eastAsia="Verdana" w:hAnsi="Arial" w:cs="Arial"/>
          <w:bCs/>
          <w:sz w:val="20"/>
          <w:szCs w:val="20"/>
        </w:rPr>
        <w:t xml:space="preserve"> einem gemeinsamen Verstän</w:t>
      </w:r>
      <w:r w:rsidR="00BA399E">
        <w:rPr>
          <w:rFonts w:ascii="Arial" w:eastAsia="Verdana" w:hAnsi="Arial" w:cs="Arial"/>
          <w:bCs/>
          <w:sz w:val="20"/>
          <w:szCs w:val="20"/>
        </w:rPr>
        <w:t>d</w:t>
      </w:r>
      <w:r w:rsidR="00BA399E">
        <w:rPr>
          <w:rFonts w:ascii="Arial" w:eastAsia="Verdana" w:hAnsi="Arial" w:cs="Arial"/>
          <w:bCs/>
          <w:sz w:val="20"/>
          <w:szCs w:val="20"/>
        </w:rPr>
        <w:t xml:space="preserve">nis für eine Netzkompetenz in einer digitalisierten Arbeitswelt </w:t>
      </w:r>
      <w:r w:rsidR="00824F40">
        <w:rPr>
          <w:rFonts w:ascii="Arial" w:eastAsia="Verdana" w:hAnsi="Arial" w:cs="Arial"/>
          <w:bCs/>
          <w:sz w:val="20"/>
          <w:szCs w:val="20"/>
        </w:rPr>
        <w:t xml:space="preserve">im europäischen Kontext </w:t>
      </w:r>
      <w:r w:rsidR="00894C56">
        <w:rPr>
          <w:rFonts w:ascii="Arial" w:eastAsia="Verdana" w:hAnsi="Arial" w:cs="Arial"/>
          <w:bCs/>
          <w:sz w:val="20"/>
          <w:szCs w:val="20"/>
        </w:rPr>
        <w:t>fußt.</w:t>
      </w:r>
      <w:r w:rsidR="00D372F3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2913CD">
        <w:rPr>
          <w:rFonts w:ascii="Arial" w:eastAsia="Verdana" w:hAnsi="Arial" w:cs="Arial"/>
          <w:bCs/>
          <w:sz w:val="20"/>
          <w:szCs w:val="20"/>
        </w:rPr>
        <w:t>Das M</w:t>
      </w:r>
      <w:r w:rsidR="002913CD">
        <w:rPr>
          <w:rFonts w:ascii="Arial" w:eastAsia="Verdana" w:hAnsi="Arial" w:cs="Arial"/>
          <w:bCs/>
          <w:sz w:val="20"/>
          <w:szCs w:val="20"/>
        </w:rPr>
        <w:t>o</w:t>
      </w:r>
      <w:r w:rsidR="002913CD">
        <w:rPr>
          <w:rFonts w:ascii="Arial" w:eastAsia="Verdana" w:hAnsi="Arial" w:cs="Arial"/>
          <w:bCs/>
          <w:sz w:val="20"/>
          <w:szCs w:val="20"/>
        </w:rPr>
        <w:t>dul wird mit einem Zertifikat abgeschlossen.</w:t>
      </w:r>
    </w:p>
    <w:p w14:paraId="4FE44F82" w14:textId="37671E98" w:rsidR="00C04C82" w:rsidRDefault="00804DB8" w:rsidP="007656A8">
      <w:pPr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 xml:space="preserve">Als Ergebnisprodukte lassen sich eine Kompetenzmatrix </w:t>
      </w:r>
      <w:r w:rsidR="00EE5331">
        <w:rPr>
          <w:rFonts w:ascii="Arial" w:eastAsia="Verdana" w:hAnsi="Arial" w:cs="Arial"/>
          <w:bCs/>
          <w:sz w:val="20"/>
          <w:szCs w:val="20"/>
        </w:rPr>
        <w:t>zur</w:t>
      </w:r>
      <w:r w:rsidR="002913CD">
        <w:rPr>
          <w:rFonts w:ascii="Arial" w:eastAsia="Verdana" w:hAnsi="Arial" w:cs="Arial"/>
          <w:bCs/>
          <w:sz w:val="20"/>
          <w:szCs w:val="20"/>
        </w:rPr>
        <w:t xml:space="preserve"> Netzkompetenz für eine digitalisierte Arbeitswelt </w:t>
      </w:r>
      <w:r>
        <w:rPr>
          <w:rFonts w:ascii="Arial" w:eastAsia="Verdana" w:hAnsi="Arial" w:cs="Arial"/>
          <w:bCs/>
          <w:sz w:val="20"/>
          <w:szCs w:val="20"/>
        </w:rPr>
        <w:t>und eine curriculare Rahmenordnung</w:t>
      </w:r>
      <w:r w:rsidR="002913CD">
        <w:rPr>
          <w:rFonts w:ascii="Arial" w:eastAsia="Verdana" w:hAnsi="Arial" w:cs="Arial"/>
          <w:bCs/>
          <w:sz w:val="20"/>
          <w:szCs w:val="20"/>
        </w:rPr>
        <w:t xml:space="preserve"> für ein e</w:t>
      </w:r>
      <w:r w:rsidR="00DC1D2F">
        <w:rPr>
          <w:rFonts w:ascii="Arial" w:eastAsia="Verdana" w:hAnsi="Arial" w:cs="Arial"/>
          <w:bCs/>
          <w:sz w:val="20"/>
          <w:szCs w:val="20"/>
        </w:rPr>
        <w:t>uropäisches Weiter- bzw. Fortbildungsmodul</w:t>
      </w:r>
      <w:r>
        <w:rPr>
          <w:rFonts w:ascii="Arial" w:eastAsia="Verdana" w:hAnsi="Arial" w:cs="Arial"/>
          <w:bCs/>
          <w:sz w:val="20"/>
          <w:szCs w:val="20"/>
        </w:rPr>
        <w:t xml:space="preserve"> in der höheren nicht-akademischen Bildung anführen. </w:t>
      </w:r>
      <w:r w:rsidR="007656A8">
        <w:rPr>
          <w:rFonts w:ascii="Arial" w:eastAsia="Verdana" w:hAnsi="Arial" w:cs="Arial"/>
          <w:bCs/>
          <w:sz w:val="20"/>
          <w:szCs w:val="20"/>
        </w:rPr>
        <w:t>Für die Anerkennung derartiger Qualifikationen und Kompetenzen im europäischen Vergleich auch hinsichtlich einer formalen Anerkennung werde</w:t>
      </w:r>
      <w:r w:rsidR="00EE5331">
        <w:rPr>
          <w:rFonts w:ascii="Arial" w:eastAsia="Verdana" w:hAnsi="Arial" w:cs="Arial"/>
          <w:bCs/>
          <w:sz w:val="20"/>
          <w:szCs w:val="20"/>
        </w:rPr>
        <w:t>n ebenfall</w:t>
      </w:r>
      <w:r w:rsidR="00D77A60">
        <w:rPr>
          <w:rFonts w:ascii="Arial" w:eastAsia="Verdana" w:hAnsi="Arial" w:cs="Arial"/>
          <w:bCs/>
          <w:sz w:val="20"/>
          <w:szCs w:val="20"/>
        </w:rPr>
        <w:t xml:space="preserve">s Leitlinien erstellt und </w:t>
      </w:r>
      <w:r w:rsidR="00EE5331">
        <w:rPr>
          <w:rFonts w:ascii="Arial" w:eastAsia="Verdana" w:hAnsi="Arial" w:cs="Arial"/>
          <w:bCs/>
          <w:sz w:val="20"/>
          <w:szCs w:val="20"/>
        </w:rPr>
        <w:t>die Interessensvertretungen</w:t>
      </w:r>
      <w:r w:rsidR="00D77A60">
        <w:rPr>
          <w:rFonts w:ascii="Arial" w:eastAsia="Verdana" w:hAnsi="Arial" w:cs="Arial"/>
          <w:bCs/>
          <w:sz w:val="20"/>
          <w:szCs w:val="20"/>
        </w:rPr>
        <w:t xml:space="preserve"> sorgen für länderspezifische Anerkennu</w:t>
      </w:r>
      <w:r w:rsidR="00D77A60">
        <w:rPr>
          <w:rFonts w:ascii="Arial" w:eastAsia="Verdana" w:hAnsi="Arial" w:cs="Arial"/>
          <w:bCs/>
          <w:sz w:val="20"/>
          <w:szCs w:val="20"/>
        </w:rPr>
        <w:t>n</w:t>
      </w:r>
      <w:r w:rsidR="00D77A60">
        <w:rPr>
          <w:rFonts w:ascii="Arial" w:eastAsia="Verdana" w:hAnsi="Arial" w:cs="Arial"/>
          <w:bCs/>
          <w:sz w:val="20"/>
          <w:szCs w:val="20"/>
        </w:rPr>
        <w:t>gen.</w:t>
      </w:r>
      <w:r w:rsidR="00F65922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EE5331">
        <w:rPr>
          <w:rFonts w:ascii="Arial" w:eastAsia="Verdana" w:hAnsi="Arial" w:cs="Arial"/>
          <w:bCs/>
          <w:sz w:val="20"/>
          <w:szCs w:val="20"/>
        </w:rPr>
        <w:t xml:space="preserve"> </w:t>
      </w:r>
    </w:p>
    <w:p w14:paraId="04CB1F39" w14:textId="77777777" w:rsidR="00DC1D2F" w:rsidRPr="00C04C82" w:rsidRDefault="00DC1D2F" w:rsidP="007656A8">
      <w:pPr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</w:rPr>
      </w:pPr>
    </w:p>
    <w:p w14:paraId="7F797DE2" w14:textId="77777777" w:rsidR="00196715" w:rsidRDefault="00AC53B8" w:rsidP="007656A8">
      <w:pPr>
        <w:spacing w:after="0" w:line="360" w:lineRule="auto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4</w:t>
      </w:r>
      <w:r w:rsidR="00196715">
        <w:rPr>
          <w:rFonts w:ascii="Arial" w:eastAsia="Verdana" w:hAnsi="Arial" w:cs="Arial"/>
          <w:b/>
          <w:bCs/>
        </w:rPr>
        <w:tab/>
      </w:r>
      <w:r w:rsidR="00F606D7">
        <w:rPr>
          <w:rFonts w:ascii="Arial" w:eastAsia="Verdana" w:hAnsi="Arial" w:cs="Arial"/>
          <w:b/>
          <w:bCs/>
        </w:rPr>
        <w:t>B</w:t>
      </w:r>
      <w:r w:rsidR="00CE4A54" w:rsidRPr="00F54418">
        <w:rPr>
          <w:rFonts w:ascii="Arial" w:eastAsia="Verdana" w:hAnsi="Arial" w:cs="Arial"/>
          <w:b/>
          <w:bCs/>
        </w:rPr>
        <w:t>eabsichtigte Wirkungen</w:t>
      </w:r>
    </w:p>
    <w:p w14:paraId="72DF3F6F" w14:textId="0F9FE4B4" w:rsidR="003E25FA" w:rsidRDefault="007656A8" w:rsidP="007656A8">
      <w:pPr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Eine in dieser F</w:t>
      </w:r>
      <w:r w:rsidRPr="007656A8">
        <w:rPr>
          <w:rFonts w:ascii="Arial" w:eastAsia="Verdana" w:hAnsi="Arial" w:cs="Arial"/>
          <w:bCs/>
          <w:sz w:val="20"/>
          <w:szCs w:val="20"/>
        </w:rPr>
        <w:t xml:space="preserve">orm </w:t>
      </w:r>
      <w:r>
        <w:rPr>
          <w:rFonts w:ascii="Arial" w:eastAsia="Verdana" w:hAnsi="Arial" w:cs="Arial"/>
          <w:bCs/>
          <w:sz w:val="20"/>
          <w:szCs w:val="20"/>
        </w:rPr>
        <w:t xml:space="preserve">angelegte Bildungsgangarbeit kann </w:t>
      </w:r>
      <w:r w:rsidR="00A06950">
        <w:rPr>
          <w:rFonts w:ascii="Arial" w:eastAsia="Verdana" w:hAnsi="Arial" w:cs="Arial"/>
          <w:bCs/>
          <w:sz w:val="20"/>
          <w:szCs w:val="20"/>
        </w:rPr>
        <w:t xml:space="preserve">von Bildungsstätten </w:t>
      </w:r>
      <w:r>
        <w:rPr>
          <w:rFonts w:ascii="Arial" w:eastAsia="Verdana" w:hAnsi="Arial" w:cs="Arial"/>
          <w:bCs/>
          <w:sz w:val="20"/>
          <w:szCs w:val="20"/>
        </w:rPr>
        <w:t>ohne Pr</w:t>
      </w:r>
      <w:r w:rsidR="00A06950">
        <w:rPr>
          <w:rFonts w:ascii="Arial" w:eastAsia="Verdana" w:hAnsi="Arial" w:cs="Arial"/>
          <w:bCs/>
          <w:sz w:val="20"/>
          <w:szCs w:val="20"/>
        </w:rPr>
        <w:t>ojektanschub</w:t>
      </w:r>
      <w:r>
        <w:rPr>
          <w:rFonts w:ascii="Arial" w:eastAsia="Verdana" w:hAnsi="Arial" w:cs="Arial"/>
          <w:bCs/>
          <w:sz w:val="20"/>
          <w:szCs w:val="20"/>
        </w:rPr>
        <w:t xml:space="preserve"> kaum eigenständig geleistet werden. Durch den situierten, partizipativen und adaptiven Ansatz und die Motiva</w:t>
      </w:r>
      <w:r w:rsidR="00DC1D2F">
        <w:rPr>
          <w:rFonts w:ascii="Arial" w:eastAsia="Verdana" w:hAnsi="Arial" w:cs="Arial"/>
          <w:bCs/>
          <w:sz w:val="20"/>
          <w:szCs w:val="20"/>
        </w:rPr>
        <w:t>tion der kooptierten Partnereinrichtungen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 w:rsidR="002C4497">
        <w:rPr>
          <w:rFonts w:ascii="Arial" w:eastAsia="Verdana" w:hAnsi="Arial" w:cs="Arial"/>
          <w:bCs/>
          <w:sz w:val="20"/>
          <w:szCs w:val="20"/>
        </w:rPr>
        <w:t>kann sichergestellt werden, dass das Modul nac</w:t>
      </w:r>
      <w:r w:rsidR="002C4497">
        <w:rPr>
          <w:rFonts w:ascii="Arial" w:eastAsia="Verdana" w:hAnsi="Arial" w:cs="Arial"/>
          <w:bCs/>
          <w:sz w:val="20"/>
          <w:szCs w:val="20"/>
        </w:rPr>
        <w:t>h</w:t>
      </w:r>
      <w:r w:rsidR="002C4497">
        <w:rPr>
          <w:rFonts w:ascii="Arial" w:eastAsia="Verdana" w:hAnsi="Arial" w:cs="Arial"/>
          <w:bCs/>
          <w:sz w:val="20"/>
          <w:szCs w:val="20"/>
        </w:rPr>
        <w:t xml:space="preserve">haltig in die Bildungsgänge der Fort- und Weiterbildung implementiert wird und dadurch </w:t>
      </w:r>
      <w:r w:rsidR="00A36CA3">
        <w:rPr>
          <w:rFonts w:ascii="Arial" w:eastAsia="Verdana" w:hAnsi="Arial" w:cs="Arial"/>
          <w:bCs/>
          <w:sz w:val="20"/>
          <w:szCs w:val="20"/>
        </w:rPr>
        <w:t>sich bei Le</w:t>
      </w:r>
      <w:r w:rsidR="00A36CA3">
        <w:rPr>
          <w:rFonts w:ascii="Arial" w:eastAsia="Verdana" w:hAnsi="Arial" w:cs="Arial"/>
          <w:bCs/>
          <w:sz w:val="20"/>
          <w:szCs w:val="20"/>
        </w:rPr>
        <w:t>h</w:t>
      </w:r>
      <w:r w:rsidR="00A36CA3">
        <w:rPr>
          <w:rFonts w:ascii="Arial" w:eastAsia="Verdana" w:hAnsi="Arial" w:cs="Arial"/>
          <w:bCs/>
          <w:sz w:val="20"/>
          <w:szCs w:val="20"/>
        </w:rPr>
        <w:t>renden und Lernern</w:t>
      </w:r>
      <w:r w:rsidR="002C4497">
        <w:rPr>
          <w:rFonts w:ascii="Arial" w:eastAsia="Verdana" w:hAnsi="Arial" w:cs="Arial"/>
          <w:bCs/>
          <w:sz w:val="20"/>
          <w:szCs w:val="20"/>
        </w:rPr>
        <w:t xml:space="preserve"> eine „Netzkompetenz“ zur Bewä</w:t>
      </w:r>
      <w:r w:rsidR="00A36CA3">
        <w:rPr>
          <w:rFonts w:ascii="Arial" w:eastAsia="Verdana" w:hAnsi="Arial" w:cs="Arial"/>
          <w:bCs/>
          <w:sz w:val="20"/>
          <w:szCs w:val="20"/>
        </w:rPr>
        <w:t>ltigung der Herausforderungen einer Industrie 4.0 entwickeln</w:t>
      </w:r>
      <w:r>
        <w:rPr>
          <w:rFonts w:ascii="Arial" w:eastAsia="Verdana" w:hAnsi="Arial" w:cs="Arial"/>
          <w:bCs/>
          <w:sz w:val="20"/>
          <w:szCs w:val="20"/>
        </w:rPr>
        <w:t xml:space="preserve"> und etablieren wird. </w:t>
      </w:r>
      <w:r w:rsidR="00A17DB5">
        <w:rPr>
          <w:rFonts w:ascii="Arial" w:eastAsia="Verdana" w:hAnsi="Arial" w:cs="Arial"/>
          <w:bCs/>
          <w:sz w:val="20"/>
          <w:szCs w:val="20"/>
        </w:rPr>
        <w:t>Die höhere berufliche Bildung gilt bereits seit lä</w:t>
      </w:r>
      <w:r>
        <w:rPr>
          <w:rFonts w:ascii="Arial" w:eastAsia="Verdana" w:hAnsi="Arial" w:cs="Arial"/>
          <w:bCs/>
          <w:sz w:val="20"/>
          <w:szCs w:val="20"/>
        </w:rPr>
        <w:t>nge</w:t>
      </w:r>
      <w:r w:rsidR="00A17DB5">
        <w:rPr>
          <w:rFonts w:ascii="Arial" w:eastAsia="Verdana" w:hAnsi="Arial" w:cs="Arial"/>
          <w:bCs/>
          <w:sz w:val="20"/>
          <w:szCs w:val="20"/>
        </w:rPr>
        <w:t>re</w:t>
      </w:r>
      <w:r>
        <w:rPr>
          <w:rFonts w:ascii="Arial" w:eastAsia="Verdana" w:hAnsi="Arial" w:cs="Arial"/>
          <w:bCs/>
          <w:sz w:val="20"/>
          <w:szCs w:val="20"/>
        </w:rPr>
        <w:t xml:space="preserve">m als </w:t>
      </w:r>
      <w:r w:rsidR="00A17DB5">
        <w:rPr>
          <w:rFonts w:ascii="Arial" w:eastAsia="Verdana" w:hAnsi="Arial" w:cs="Arial"/>
          <w:bCs/>
          <w:sz w:val="20"/>
          <w:szCs w:val="20"/>
        </w:rPr>
        <w:t xml:space="preserve">Garant für </w:t>
      </w:r>
      <w:r>
        <w:rPr>
          <w:rFonts w:ascii="Arial" w:eastAsia="Verdana" w:hAnsi="Arial" w:cs="Arial"/>
          <w:bCs/>
          <w:sz w:val="20"/>
          <w:szCs w:val="20"/>
        </w:rPr>
        <w:t>Innovationskraft an beruflichen Bildungsstät</w:t>
      </w:r>
      <w:r w:rsidR="00A17DB5">
        <w:rPr>
          <w:rFonts w:ascii="Arial" w:eastAsia="Verdana" w:hAnsi="Arial" w:cs="Arial"/>
          <w:bCs/>
          <w:sz w:val="20"/>
          <w:szCs w:val="20"/>
        </w:rPr>
        <w:t>ten</w:t>
      </w:r>
      <w:r>
        <w:rPr>
          <w:rFonts w:ascii="Arial" w:eastAsia="Verdana" w:hAnsi="Arial" w:cs="Arial"/>
          <w:bCs/>
          <w:sz w:val="20"/>
          <w:szCs w:val="20"/>
        </w:rPr>
        <w:t>. So existieren bereits Technikerausbild</w:t>
      </w:r>
      <w:r w:rsidR="00F606D7">
        <w:rPr>
          <w:rFonts w:ascii="Arial" w:eastAsia="Verdana" w:hAnsi="Arial" w:cs="Arial"/>
          <w:bCs/>
          <w:sz w:val="20"/>
          <w:szCs w:val="20"/>
        </w:rPr>
        <w:t>ungen für Elek</w:t>
      </w:r>
      <w:r w:rsidR="00F606D7">
        <w:rPr>
          <w:rFonts w:ascii="Arial" w:eastAsia="Verdana" w:hAnsi="Arial" w:cs="Arial"/>
          <w:bCs/>
          <w:sz w:val="20"/>
          <w:szCs w:val="20"/>
        </w:rPr>
        <w:t>t</w:t>
      </w:r>
      <w:r w:rsidR="00F606D7">
        <w:rPr>
          <w:rFonts w:ascii="Arial" w:eastAsia="Verdana" w:hAnsi="Arial" w:cs="Arial"/>
          <w:bCs/>
          <w:sz w:val="20"/>
          <w:szCs w:val="20"/>
        </w:rPr>
        <w:lastRenderedPageBreak/>
        <w:t xml:space="preserve">romobilität oder Windenergietechnik. Die jeweilige Ausgestaltung </w:t>
      </w:r>
      <w:r w:rsidR="00A17DB5">
        <w:rPr>
          <w:rFonts w:ascii="Arial" w:eastAsia="Verdana" w:hAnsi="Arial" w:cs="Arial"/>
          <w:bCs/>
          <w:sz w:val="20"/>
          <w:szCs w:val="20"/>
        </w:rPr>
        <w:t xml:space="preserve">bspw. </w:t>
      </w:r>
      <w:r w:rsidR="00F606D7">
        <w:rPr>
          <w:rFonts w:ascii="Arial" w:eastAsia="Verdana" w:hAnsi="Arial" w:cs="Arial"/>
          <w:bCs/>
          <w:sz w:val="20"/>
          <w:szCs w:val="20"/>
        </w:rPr>
        <w:t>der Technikerausbildung nimmt nachhaltig Einfluss auf die Entwicklung der beruflichen Bildungsstätte</w:t>
      </w:r>
      <w:r w:rsidR="00A17DB5">
        <w:rPr>
          <w:rFonts w:ascii="Arial" w:eastAsia="Verdana" w:hAnsi="Arial" w:cs="Arial"/>
          <w:bCs/>
          <w:sz w:val="20"/>
          <w:szCs w:val="20"/>
        </w:rPr>
        <w:t>n</w:t>
      </w:r>
      <w:r w:rsidR="00F606D7">
        <w:rPr>
          <w:rFonts w:ascii="Arial" w:eastAsia="Verdana" w:hAnsi="Arial" w:cs="Arial"/>
          <w:bCs/>
          <w:sz w:val="20"/>
          <w:szCs w:val="20"/>
        </w:rPr>
        <w:t>, z. B. durch eine Prof</w:t>
      </w:r>
      <w:r w:rsidR="00F606D7">
        <w:rPr>
          <w:rFonts w:ascii="Arial" w:eastAsia="Verdana" w:hAnsi="Arial" w:cs="Arial"/>
          <w:bCs/>
          <w:sz w:val="20"/>
          <w:szCs w:val="20"/>
        </w:rPr>
        <w:t>i</w:t>
      </w:r>
      <w:r w:rsidR="00F606D7">
        <w:rPr>
          <w:rFonts w:ascii="Arial" w:eastAsia="Verdana" w:hAnsi="Arial" w:cs="Arial"/>
          <w:bCs/>
          <w:sz w:val="20"/>
          <w:szCs w:val="20"/>
        </w:rPr>
        <w:t>lierung. Der In</w:t>
      </w:r>
      <w:r w:rsidR="00CC518D">
        <w:rPr>
          <w:rFonts w:ascii="Arial" w:eastAsia="Verdana" w:hAnsi="Arial" w:cs="Arial"/>
          <w:bCs/>
          <w:sz w:val="20"/>
          <w:szCs w:val="20"/>
        </w:rPr>
        <w:t>novationsschub hat zudem</w:t>
      </w:r>
      <w:r w:rsidR="00F606D7">
        <w:rPr>
          <w:rFonts w:ascii="Arial" w:eastAsia="Verdana" w:hAnsi="Arial" w:cs="Arial"/>
          <w:bCs/>
          <w:sz w:val="20"/>
          <w:szCs w:val="20"/>
        </w:rPr>
        <w:t xml:space="preserve"> auch auf die weiteren Bildungsgänge positive innovierende Auswirkun</w:t>
      </w:r>
      <w:r w:rsidR="00A17DB5">
        <w:rPr>
          <w:rFonts w:ascii="Arial" w:eastAsia="Verdana" w:hAnsi="Arial" w:cs="Arial"/>
          <w:bCs/>
          <w:sz w:val="20"/>
          <w:szCs w:val="20"/>
        </w:rPr>
        <w:t>gen und ist somit Triebkraft interner und externer Schulentwicklung.</w:t>
      </w:r>
    </w:p>
    <w:p w14:paraId="79917ABC" w14:textId="77777777" w:rsidR="00A17DB5" w:rsidRPr="00F606D7" w:rsidRDefault="00A17DB5" w:rsidP="007656A8">
      <w:pPr>
        <w:spacing w:after="0" w:line="360" w:lineRule="auto"/>
        <w:jc w:val="both"/>
        <w:rPr>
          <w:rFonts w:ascii="Arial" w:eastAsia="Verdana" w:hAnsi="Arial" w:cs="Arial"/>
          <w:bCs/>
          <w:sz w:val="20"/>
          <w:szCs w:val="20"/>
        </w:rPr>
      </w:pPr>
    </w:p>
    <w:p w14:paraId="5D1E7069" w14:textId="77777777" w:rsidR="005A622A" w:rsidRDefault="00AC53B8" w:rsidP="00F606D7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5</w:t>
      </w:r>
      <w:r>
        <w:rPr>
          <w:rFonts w:ascii="Helvetica-Bold" w:hAnsi="Helvetica-Bold" w:cs="Helvetica-Bold"/>
          <w:b/>
          <w:bCs/>
          <w:color w:val="000000"/>
        </w:rPr>
        <w:tab/>
      </w:r>
      <w:r w:rsidR="00F606D7">
        <w:rPr>
          <w:rFonts w:ascii="Helvetica-Bold" w:hAnsi="Helvetica-Bold" w:cs="Helvetica-Bold"/>
          <w:b/>
          <w:bCs/>
          <w:color w:val="000000"/>
        </w:rPr>
        <w:t>E</w:t>
      </w:r>
      <w:r w:rsidR="005A622A">
        <w:rPr>
          <w:rFonts w:ascii="Helvetica-Bold" w:hAnsi="Helvetica-Bold" w:cs="Helvetica-Bold"/>
          <w:b/>
          <w:bCs/>
          <w:color w:val="000000"/>
        </w:rPr>
        <w:t>igene Vorarbeiten</w:t>
      </w:r>
    </w:p>
    <w:p w14:paraId="73CB5E8F" w14:textId="77777777" w:rsidR="00F606D7" w:rsidRPr="00F606D7" w:rsidRDefault="006A56C7" w:rsidP="00F606D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F606D7">
        <w:rPr>
          <w:rFonts w:ascii="Arial" w:hAnsi="Arial" w:cs="Arial"/>
          <w:sz w:val="20"/>
          <w:szCs w:val="20"/>
        </w:rPr>
        <w:t>Das Projekt kann an verschiedene eigene Vorarbeiten anknüpfen:</w:t>
      </w:r>
      <w:r w:rsidR="00F606D7" w:rsidRPr="00F606D7">
        <w:rPr>
          <w:rFonts w:ascii="Arial" w:hAnsi="Arial" w:cs="Arial"/>
          <w:sz w:val="20"/>
          <w:szCs w:val="20"/>
        </w:rPr>
        <w:t xml:space="preserve"> </w:t>
      </w:r>
    </w:p>
    <w:p w14:paraId="5BF77BCC" w14:textId="77777777" w:rsidR="00D73A48" w:rsidRDefault="00D73A48" w:rsidP="004D328B">
      <w:pPr>
        <w:pStyle w:val="KeinLeerraum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F606D7" w:rsidRPr="00F606D7">
        <w:rPr>
          <w:rFonts w:ascii="Arial" w:hAnsi="Arial" w:cs="Arial"/>
          <w:sz w:val="20"/>
          <w:szCs w:val="20"/>
        </w:rPr>
        <w:t>EQUAL-CLASS Projekt</w:t>
      </w:r>
      <w:r>
        <w:rPr>
          <w:rFonts w:ascii="Arial" w:hAnsi="Arial" w:cs="Arial"/>
          <w:sz w:val="20"/>
          <w:szCs w:val="20"/>
        </w:rPr>
        <w:t xml:space="preserve"> hat tech</w:t>
      </w:r>
      <w:r w:rsidR="00F606D7" w:rsidRPr="00D73A48">
        <w:rPr>
          <w:rFonts w:ascii="Arial" w:hAnsi="Arial" w:cs="Arial"/>
          <w:sz w:val="20"/>
          <w:szCs w:val="20"/>
        </w:rPr>
        <w:t>nische Qualifikationen, die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im Bereich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Mechatronik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Elektronik/Elektrotechnik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höheren nicht-universitären Ein</w:t>
      </w:r>
      <w:r w:rsidR="00F606D7" w:rsidRPr="00D73A48">
        <w:rPr>
          <w:rFonts w:ascii="Arial" w:hAnsi="Arial" w:cs="Arial"/>
          <w:sz w:val="20"/>
          <w:szCs w:val="20"/>
        </w:rPr>
        <w:t>richtungen er</w:t>
      </w:r>
      <w:r>
        <w:rPr>
          <w:rFonts w:ascii="Arial" w:hAnsi="Arial" w:cs="Arial"/>
          <w:sz w:val="20"/>
          <w:szCs w:val="20"/>
        </w:rPr>
        <w:t>langt werden kö</w:t>
      </w:r>
      <w:r>
        <w:rPr>
          <w:rFonts w:ascii="Arial" w:hAnsi="Arial" w:cs="Arial"/>
          <w:sz w:val="20"/>
          <w:szCs w:val="20"/>
        </w:rPr>
        <w:t>n</w:t>
      </w:r>
      <w:r w:rsidR="00F606D7" w:rsidRPr="00D73A48">
        <w:rPr>
          <w:rFonts w:ascii="Arial" w:hAnsi="Arial" w:cs="Arial"/>
          <w:sz w:val="20"/>
          <w:szCs w:val="20"/>
        </w:rPr>
        <w:t>nen</w:t>
      </w:r>
      <w:r>
        <w:rPr>
          <w:rFonts w:ascii="Arial" w:hAnsi="Arial" w:cs="Arial"/>
          <w:sz w:val="20"/>
          <w:szCs w:val="20"/>
        </w:rPr>
        <w:t>, verglichen und analysiert</w:t>
      </w:r>
      <w:r w:rsidR="00F606D7" w:rsidRPr="00D73A48">
        <w:rPr>
          <w:rFonts w:ascii="Arial" w:hAnsi="Arial" w:cs="Arial"/>
          <w:sz w:val="20"/>
          <w:szCs w:val="20"/>
        </w:rPr>
        <w:t>. Qualifikationen aus fünf</w:t>
      </w:r>
      <w:r>
        <w:rPr>
          <w:rFonts w:ascii="Arial" w:hAnsi="Arial" w:cs="Arial"/>
          <w:sz w:val="20"/>
          <w:szCs w:val="20"/>
        </w:rPr>
        <w:t xml:space="preserve"> verschiedenen Ländern wu</w:t>
      </w:r>
      <w:r w:rsidR="00F606D7" w:rsidRPr="00D73A48">
        <w:rPr>
          <w:rFonts w:ascii="Arial" w:hAnsi="Arial" w:cs="Arial"/>
          <w:sz w:val="20"/>
          <w:szCs w:val="20"/>
        </w:rPr>
        <w:t>rden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aus unt</w:t>
      </w:r>
      <w:r>
        <w:rPr>
          <w:rFonts w:ascii="Arial" w:hAnsi="Arial" w:cs="Arial"/>
          <w:sz w:val="20"/>
          <w:szCs w:val="20"/>
        </w:rPr>
        <w:t>er</w:t>
      </w:r>
      <w:r w:rsidR="00F606D7" w:rsidRPr="00D73A48">
        <w:rPr>
          <w:rFonts w:ascii="Arial" w:hAnsi="Arial" w:cs="Arial"/>
          <w:sz w:val="20"/>
          <w:szCs w:val="20"/>
        </w:rPr>
        <w:t>schied</w:t>
      </w:r>
      <w:r>
        <w:rPr>
          <w:rFonts w:ascii="Arial" w:hAnsi="Arial" w:cs="Arial"/>
          <w:sz w:val="20"/>
          <w:szCs w:val="20"/>
        </w:rPr>
        <w:t>lichen Perspektiven – Lernergebnisse, Schü</w:t>
      </w:r>
      <w:r w:rsidR="0062109D">
        <w:rPr>
          <w:rFonts w:ascii="Arial" w:hAnsi="Arial" w:cs="Arial"/>
          <w:sz w:val="20"/>
          <w:szCs w:val="20"/>
        </w:rPr>
        <w:t>ler/-innen und Absolvent/-i</w:t>
      </w:r>
      <w:r w:rsidR="00F606D7" w:rsidRPr="00D73A48">
        <w:rPr>
          <w:rFonts w:ascii="Arial" w:hAnsi="Arial" w:cs="Arial"/>
          <w:sz w:val="20"/>
          <w:szCs w:val="20"/>
        </w:rPr>
        <w:t>nnen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– und insbesondere im Hinblick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auf deren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NQR/EQR-Zuordnung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(Nationaler bzw. Europäischer</w:t>
      </w:r>
      <w:r>
        <w:rPr>
          <w:rFonts w:ascii="Arial" w:hAnsi="Arial" w:cs="Arial"/>
          <w:sz w:val="20"/>
          <w:szCs w:val="20"/>
        </w:rPr>
        <w:t xml:space="preserve"> </w:t>
      </w:r>
      <w:r w:rsidR="00F606D7" w:rsidRPr="00D73A48">
        <w:rPr>
          <w:rFonts w:ascii="Arial" w:hAnsi="Arial" w:cs="Arial"/>
          <w:sz w:val="20"/>
          <w:szCs w:val="20"/>
        </w:rPr>
        <w:t>Qualifikationsrahmen) un</w:t>
      </w:r>
      <w:r>
        <w:rPr>
          <w:rFonts w:ascii="Arial" w:hAnsi="Arial" w:cs="Arial"/>
          <w:sz w:val="20"/>
          <w:szCs w:val="20"/>
        </w:rPr>
        <w:t>tersucht.</w:t>
      </w:r>
      <w:r w:rsidR="004D328B">
        <w:rPr>
          <w:rFonts w:ascii="Arial" w:hAnsi="Arial" w:cs="Arial"/>
          <w:sz w:val="20"/>
          <w:szCs w:val="20"/>
        </w:rPr>
        <w:t xml:space="preserve">(Laufzeit: </w:t>
      </w:r>
      <w:r w:rsidR="004D328B" w:rsidRPr="004D328B">
        <w:rPr>
          <w:rFonts w:ascii="Arial" w:hAnsi="Arial" w:cs="Arial"/>
          <w:sz w:val="20"/>
          <w:szCs w:val="20"/>
        </w:rPr>
        <w:t>10/2012</w:t>
      </w:r>
      <w:r w:rsidR="004D328B">
        <w:rPr>
          <w:rFonts w:ascii="Arial" w:hAnsi="Arial" w:cs="Arial"/>
          <w:sz w:val="20"/>
          <w:szCs w:val="20"/>
        </w:rPr>
        <w:t>-</w:t>
      </w:r>
      <w:r w:rsidR="004D328B" w:rsidRPr="004D328B">
        <w:rPr>
          <w:rFonts w:ascii="Arial" w:hAnsi="Arial" w:cs="Arial"/>
          <w:sz w:val="20"/>
          <w:szCs w:val="20"/>
        </w:rPr>
        <w:t>09/2014</w:t>
      </w:r>
      <w:r w:rsidR="004D328B">
        <w:rPr>
          <w:rFonts w:ascii="Arial" w:hAnsi="Arial" w:cs="Arial"/>
          <w:sz w:val="20"/>
          <w:szCs w:val="20"/>
        </w:rPr>
        <w:t>, gefördert durch EU, Life Long Learning-Programme)</w:t>
      </w:r>
    </w:p>
    <w:p w14:paraId="40553805" w14:textId="77777777" w:rsidR="00F606D7" w:rsidRPr="00D73A48" w:rsidRDefault="004D328B" w:rsidP="00D73A48">
      <w:pPr>
        <w:pStyle w:val="KeinLeerraum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Projekt „</w:t>
      </w:r>
      <w:proofErr w:type="spellStart"/>
      <w:r>
        <w:rPr>
          <w:rFonts w:ascii="Arial" w:hAnsi="Arial" w:cs="Arial"/>
          <w:sz w:val="20"/>
          <w:szCs w:val="20"/>
        </w:rPr>
        <w:t>Prokom</w:t>
      </w:r>
      <w:proofErr w:type="spellEnd"/>
      <w:r>
        <w:rPr>
          <w:rFonts w:ascii="Arial" w:hAnsi="Arial" w:cs="Arial"/>
          <w:sz w:val="20"/>
          <w:szCs w:val="20"/>
        </w:rPr>
        <w:t xml:space="preserve"> 4.0“ beschäftigt sich mit der Facharbeit in der High-Tech-Industrie</w:t>
      </w:r>
      <w:r w:rsidR="00154FEE">
        <w:rPr>
          <w:rFonts w:ascii="Arial" w:hAnsi="Arial" w:cs="Arial"/>
          <w:sz w:val="20"/>
          <w:szCs w:val="20"/>
        </w:rPr>
        <w:t>.</w:t>
      </w:r>
      <w:r w:rsidR="00F606D7" w:rsidRPr="00D73A48">
        <w:rPr>
          <w:rFonts w:ascii="Arial" w:hAnsi="Arial" w:cs="Arial"/>
          <w:sz w:val="20"/>
          <w:szCs w:val="20"/>
        </w:rPr>
        <w:br/>
      </w:r>
      <w:r w:rsidR="00154FEE">
        <w:rPr>
          <w:rFonts w:ascii="Arial" w:hAnsi="Arial" w:cs="Arial"/>
          <w:sz w:val="20"/>
          <w:szCs w:val="20"/>
        </w:rPr>
        <w:t>(Laufzeit: 1/2015-12/2017, gefördert durch das BMBF)</w:t>
      </w:r>
    </w:p>
    <w:p w14:paraId="2052FBC6" w14:textId="77777777" w:rsidR="00F606D7" w:rsidRPr="00F606D7" w:rsidRDefault="006A56C7" w:rsidP="00F606D7">
      <w:pPr>
        <w:pStyle w:val="KeinLeerraum"/>
      </w:pPr>
      <w:r w:rsidRPr="00F606D7">
        <w:t xml:space="preserve"> </w:t>
      </w:r>
    </w:p>
    <w:sectPr w:rsidR="00F606D7" w:rsidRPr="00F606D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1B0F1" w14:textId="77777777" w:rsidR="00A53FFC" w:rsidRDefault="00A53FFC" w:rsidP="007537E5">
      <w:pPr>
        <w:spacing w:after="0" w:line="240" w:lineRule="auto"/>
      </w:pPr>
      <w:r>
        <w:separator/>
      </w:r>
    </w:p>
  </w:endnote>
  <w:endnote w:type="continuationSeparator" w:id="0">
    <w:p w14:paraId="712D75A3" w14:textId="77777777" w:rsidR="00A53FFC" w:rsidRDefault="00A53FFC" w:rsidP="0075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A49D3" w14:textId="77777777" w:rsidR="00A53FFC" w:rsidRDefault="00A53FFC" w:rsidP="007537E5">
      <w:pPr>
        <w:spacing w:after="0" w:line="240" w:lineRule="auto"/>
      </w:pPr>
      <w:r>
        <w:separator/>
      </w:r>
    </w:p>
  </w:footnote>
  <w:footnote w:type="continuationSeparator" w:id="0">
    <w:p w14:paraId="5EC2BCA1" w14:textId="77777777" w:rsidR="00A53FFC" w:rsidRDefault="00A53FFC" w:rsidP="0075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7B8B" w14:textId="77777777" w:rsidR="00B3258F" w:rsidRDefault="00B3258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5ED"/>
    <w:multiLevelType w:val="hybridMultilevel"/>
    <w:tmpl w:val="FB30E9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6E0C"/>
    <w:multiLevelType w:val="hybridMultilevel"/>
    <w:tmpl w:val="0F126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008F"/>
    <w:multiLevelType w:val="hybridMultilevel"/>
    <w:tmpl w:val="5560D7C6"/>
    <w:lvl w:ilvl="0" w:tplc="909E6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51F12"/>
    <w:multiLevelType w:val="hybridMultilevel"/>
    <w:tmpl w:val="1638C4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B46"/>
    <w:multiLevelType w:val="hybridMultilevel"/>
    <w:tmpl w:val="29BA520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3CC4860"/>
    <w:multiLevelType w:val="hybridMultilevel"/>
    <w:tmpl w:val="DB085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A6BC5"/>
    <w:multiLevelType w:val="hybridMultilevel"/>
    <w:tmpl w:val="94BC59C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AB3B09"/>
    <w:multiLevelType w:val="hybridMultilevel"/>
    <w:tmpl w:val="30409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25B"/>
    <w:multiLevelType w:val="hybridMultilevel"/>
    <w:tmpl w:val="89146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70D7"/>
    <w:multiLevelType w:val="hybridMultilevel"/>
    <w:tmpl w:val="4A4A65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647F"/>
    <w:multiLevelType w:val="multilevel"/>
    <w:tmpl w:val="44F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86ABA"/>
    <w:multiLevelType w:val="hybridMultilevel"/>
    <w:tmpl w:val="EB3056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C"/>
    <w:rsid w:val="00001257"/>
    <w:rsid w:val="000029DC"/>
    <w:rsid w:val="0002373A"/>
    <w:rsid w:val="000247BC"/>
    <w:rsid w:val="00024C29"/>
    <w:rsid w:val="0003364A"/>
    <w:rsid w:val="00050328"/>
    <w:rsid w:val="000521A8"/>
    <w:rsid w:val="0008616D"/>
    <w:rsid w:val="000A3A0E"/>
    <w:rsid w:val="000A582C"/>
    <w:rsid w:val="000A645E"/>
    <w:rsid w:val="000C037D"/>
    <w:rsid w:val="000C7E06"/>
    <w:rsid w:val="000E15B7"/>
    <w:rsid w:val="00114C89"/>
    <w:rsid w:val="00130AA1"/>
    <w:rsid w:val="00130DD8"/>
    <w:rsid w:val="00141998"/>
    <w:rsid w:val="00142FFF"/>
    <w:rsid w:val="00143254"/>
    <w:rsid w:val="00154FEE"/>
    <w:rsid w:val="00160781"/>
    <w:rsid w:val="00176A73"/>
    <w:rsid w:val="00196715"/>
    <w:rsid w:val="001A173C"/>
    <w:rsid w:val="001A1B56"/>
    <w:rsid w:val="001B7A5A"/>
    <w:rsid w:val="001C3338"/>
    <w:rsid w:val="001C7CF2"/>
    <w:rsid w:val="001E1ED0"/>
    <w:rsid w:val="001E2FF4"/>
    <w:rsid w:val="001E43D4"/>
    <w:rsid w:val="00202891"/>
    <w:rsid w:val="002067AC"/>
    <w:rsid w:val="00236E86"/>
    <w:rsid w:val="002377B0"/>
    <w:rsid w:val="002454A3"/>
    <w:rsid w:val="00267993"/>
    <w:rsid w:val="002763EC"/>
    <w:rsid w:val="002913CD"/>
    <w:rsid w:val="002936F4"/>
    <w:rsid w:val="002A4ABB"/>
    <w:rsid w:val="002A6222"/>
    <w:rsid w:val="002A6A40"/>
    <w:rsid w:val="002B574A"/>
    <w:rsid w:val="002B7D79"/>
    <w:rsid w:val="002C4497"/>
    <w:rsid w:val="002D1D92"/>
    <w:rsid w:val="002F1F1A"/>
    <w:rsid w:val="00302287"/>
    <w:rsid w:val="00327BB7"/>
    <w:rsid w:val="00331948"/>
    <w:rsid w:val="003401F7"/>
    <w:rsid w:val="003600CB"/>
    <w:rsid w:val="0036476D"/>
    <w:rsid w:val="00377517"/>
    <w:rsid w:val="003863BA"/>
    <w:rsid w:val="003C04A6"/>
    <w:rsid w:val="003C1183"/>
    <w:rsid w:val="003C19D0"/>
    <w:rsid w:val="003C5F55"/>
    <w:rsid w:val="003C6899"/>
    <w:rsid w:val="003E01ED"/>
    <w:rsid w:val="003E25FA"/>
    <w:rsid w:val="0040049F"/>
    <w:rsid w:val="00410261"/>
    <w:rsid w:val="00412D4B"/>
    <w:rsid w:val="0041694C"/>
    <w:rsid w:val="00426A1E"/>
    <w:rsid w:val="0047393C"/>
    <w:rsid w:val="0047625B"/>
    <w:rsid w:val="004823FD"/>
    <w:rsid w:val="00485802"/>
    <w:rsid w:val="004878D1"/>
    <w:rsid w:val="004910E8"/>
    <w:rsid w:val="004A57B5"/>
    <w:rsid w:val="004C0677"/>
    <w:rsid w:val="004C1F37"/>
    <w:rsid w:val="004C606E"/>
    <w:rsid w:val="004C6B38"/>
    <w:rsid w:val="004D328B"/>
    <w:rsid w:val="004D4099"/>
    <w:rsid w:val="004D5C85"/>
    <w:rsid w:val="004F1937"/>
    <w:rsid w:val="005127ED"/>
    <w:rsid w:val="00523012"/>
    <w:rsid w:val="00524712"/>
    <w:rsid w:val="00526030"/>
    <w:rsid w:val="00536752"/>
    <w:rsid w:val="00552E39"/>
    <w:rsid w:val="00556892"/>
    <w:rsid w:val="00565AA4"/>
    <w:rsid w:val="00570763"/>
    <w:rsid w:val="005A61B7"/>
    <w:rsid w:val="005A622A"/>
    <w:rsid w:val="005C43E2"/>
    <w:rsid w:val="005C530C"/>
    <w:rsid w:val="005D3788"/>
    <w:rsid w:val="005E0E28"/>
    <w:rsid w:val="005F18AE"/>
    <w:rsid w:val="005F1D2A"/>
    <w:rsid w:val="005F45CA"/>
    <w:rsid w:val="005F6DB8"/>
    <w:rsid w:val="00600A03"/>
    <w:rsid w:val="00613CD8"/>
    <w:rsid w:val="0062109D"/>
    <w:rsid w:val="006218B9"/>
    <w:rsid w:val="00627015"/>
    <w:rsid w:val="006303CB"/>
    <w:rsid w:val="00656D4A"/>
    <w:rsid w:val="006571D5"/>
    <w:rsid w:val="00670083"/>
    <w:rsid w:val="00670284"/>
    <w:rsid w:val="006778AD"/>
    <w:rsid w:val="00684798"/>
    <w:rsid w:val="00692A99"/>
    <w:rsid w:val="00697E33"/>
    <w:rsid w:val="006A56C7"/>
    <w:rsid w:val="006A7196"/>
    <w:rsid w:val="006A7628"/>
    <w:rsid w:val="006E7AF1"/>
    <w:rsid w:val="00700400"/>
    <w:rsid w:val="0070291C"/>
    <w:rsid w:val="00703871"/>
    <w:rsid w:val="00703D52"/>
    <w:rsid w:val="00711614"/>
    <w:rsid w:val="00711BA1"/>
    <w:rsid w:val="00722606"/>
    <w:rsid w:val="00730F48"/>
    <w:rsid w:val="007315A9"/>
    <w:rsid w:val="007537E5"/>
    <w:rsid w:val="00753F6C"/>
    <w:rsid w:val="007613FA"/>
    <w:rsid w:val="007650B3"/>
    <w:rsid w:val="007656A8"/>
    <w:rsid w:val="00774A64"/>
    <w:rsid w:val="0077744C"/>
    <w:rsid w:val="0077776B"/>
    <w:rsid w:val="00791251"/>
    <w:rsid w:val="007A65F6"/>
    <w:rsid w:val="007B2EF3"/>
    <w:rsid w:val="007F2D29"/>
    <w:rsid w:val="00804DB8"/>
    <w:rsid w:val="00813C58"/>
    <w:rsid w:val="00815BC1"/>
    <w:rsid w:val="00821BFA"/>
    <w:rsid w:val="00824F40"/>
    <w:rsid w:val="00851615"/>
    <w:rsid w:val="0085462C"/>
    <w:rsid w:val="00873A7B"/>
    <w:rsid w:val="00885401"/>
    <w:rsid w:val="00894C56"/>
    <w:rsid w:val="008977EC"/>
    <w:rsid w:val="0089784E"/>
    <w:rsid w:val="008A41E7"/>
    <w:rsid w:val="008A5BA0"/>
    <w:rsid w:val="008B067C"/>
    <w:rsid w:val="008B16DC"/>
    <w:rsid w:val="008C57A1"/>
    <w:rsid w:val="008D31C6"/>
    <w:rsid w:val="008E74DD"/>
    <w:rsid w:val="008E7B77"/>
    <w:rsid w:val="00901846"/>
    <w:rsid w:val="00902E70"/>
    <w:rsid w:val="009428C8"/>
    <w:rsid w:val="00962858"/>
    <w:rsid w:val="009659E6"/>
    <w:rsid w:val="00965E66"/>
    <w:rsid w:val="009732BB"/>
    <w:rsid w:val="0098244F"/>
    <w:rsid w:val="009856E6"/>
    <w:rsid w:val="009B2748"/>
    <w:rsid w:val="009B78F2"/>
    <w:rsid w:val="009E65E3"/>
    <w:rsid w:val="009E6FAE"/>
    <w:rsid w:val="009E7462"/>
    <w:rsid w:val="00A043D4"/>
    <w:rsid w:val="00A06950"/>
    <w:rsid w:val="00A113FE"/>
    <w:rsid w:val="00A14588"/>
    <w:rsid w:val="00A17DB5"/>
    <w:rsid w:val="00A259C4"/>
    <w:rsid w:val="00A36CA3"/>
    <w:rsid w:val="00A47F88"/>
    <w:rsid w:val="00A53FFC"/>
    <w:rsid w:val="00A6431F"/>
    <w:rsid w:val="00A80305"/>
    <w:rsid w:val="00A82D9E"/>
    <w:rsid w:val="00A93870"/>
    <w:rsid w:val="00AA1477"/>
    <w:rsid w:val="00AA2B38"/>
    <w:rsid w:val="00AA6D0D"/>
    <w:rsid w:val="00AC53B8"/>
    <w:rsid w:val="00AE299D"/>
    <w:rsid w:val="00AE319D"/>
    <w:rsid w:val="00B029B4"/>
    <w:rsid w:val="00B03A14"/>
    <w:rsid w:val="00B25A37"/>
    <w:rsid w:val="00B3258F"/>
    <w:rsid w:val="00B5639F"/>
    <w:rsid w:val="00B65157"/>
    <w:rsid w:val="00B66F3E"/>
    <w:rsid w:val="00B67A43"/>
    <w:rsid w:val="00BA2BF6"/>
    <w:rsid w:val="00BA399E"/>
    <w:rsid w:val="00BA4784"/>
    <w:rsid w:val="00BA5C91"/>
    <w:rsid w:val="00BA5DD2"/>
    <w:rsid w:val="00BB3AE5"/>
    <w:rsid w:val="00BB46D0"/>
    <w:rsid w:val="00BC475E"/>
    <w:rsid w:val="00BF20D8"/>
    <w:rsid w:val="00C04C82"/>
    <w:rsid w:val="00C10B2A"/>
    <w:rsid w:val="00C11B2B"/>
    <w:rsid w:val="00C143D3"/>
    <w:rsid w:val="00C212A8"/>
    <w:rsid w:val="00C23792"/>
    <w:rsid w:val="00C303B2"/>
    <w:rsid w:val="00C57D03"/>
    <w:rsid w:val="00C62B71"/>
    <w:rsid w:val="00C834F6"/>
    <w:rsid w:val="00C914B4"/>
    <w:rsid w:val="00CB085E"/>
    <w:rsid w:val="00CC518D"/>
    <w:rsid w:val="00CE11C1"/>
    <w:rsid w:val="00CE4A54"/>
    <w:rsid w:val="00CE6D13"/>
    <w:rsid w:val="00CF2FA7"/>
    <w:rsid w:val="00D0198C"/>
    <w:rsid w:val="00D06B85"/>
    <w:rsid w:val="00D201A0"/>
    <w:rsid w:val="00D35DD1"/>
    <w:rsid w:val="00D372F3"/>
    <w:rsid w:val="00D6545E"/>
    <w:rsid w:val="00D70139"/>
    <w:rsid w:val="00D73A48"/>
    <w:rsid w:val="00D77712"/>
    <w:rsid w:val="00D77A60"/>
    <w:rsid w:val="00D86D79"/>
    <w:rsid w:val="00D95DF4"/>
    <w:rsid w:val="00D972CD"/>
    <w:rsid w:val="00DA6AB2"/>
    <w:rsid w:val="00DB3DEA"/>
    <w:rsid w:val="00DC1D2F"/>
    <w:rsid w:val="00DC2C70"/>
    <w:rsid w:val="00DC469B"/>
    <w:rsid w:val="00DD608F"/>
    <w:rsid w:val="00DE4FB3"/>
    <w:rsid w:val="00DF730C"/>
    <w:rsid w:val="00E05F7E"/>
    <w:rsid w:val="00E10388"/>
    <w:rsid w:val="00E24637"/>
    <w:rsid w:val="00E27050"/>
    <w:rsid w:val="00E610FA"/>
    <w:rsid w:val="00E761B4"/>
    <w:rsid w:val="00E83F60"/>
    <w:rsid w:val="00E92E3C"/>
    <w:rsid w:val="00E964FF"/>
    <w:rsid w:val="00EB65DF"/>
    <w:rsid w:val="00EC7930"/>
    <w:rsid w:val="00EE09BC"/>
    <w:rsid w:val="00EE5331"/>
    <w:rsid w:val="00EF04E0"/>
    <w:rsid w:val="00EF4789"/>
    <w:rsid w:val="00F46020"/>
    <w:rsid w:val="00F54418"/>
    <w:rsid w:val="00F606D7"/>
    <w:rsid w:val="00F65922"/>
    <w:rsid w:val="00F702DD"/>
    <w:rsid w:val="00F82DDB"/>
    <w:rsid w:val="00F84F89"/>
    <w:rsid w:val="00F8758A"/>
    <w:rsid w:val="00F97283"/>
    <w:rsid w:val="00F97CF0"/>
    <w:rsid w:val="00FA019A"/>
    <w:rsid w:val="00FC2116"/>
    <w:rsid w:val="00FD135D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F2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7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7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12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D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7E5"/>
  </w:style>
  <w:style w:type="paragraph" w:styleId="Fuzeile">
    <w:name w:val="footer"/>
    <w:basedOn w:val="Standard"/>
    <w:link w:val="FuzeileZchn"/>
    <w:uiPriority w:val="99"/>
    <w:unhideWhenUsed/>
    <w:rsid w:val="0075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9C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C2C70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77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12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2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251"/>
    <w:rPr>
      <w:vertAlign w:val="superscript"/>
    </w:rPr>
  </w:style>
  <w:style w:type="table" w:styleId="Tabellenraster">
    <w:name w:val="Table Grid"/>
    <w:basedOn w:val="NormaleTabelle"/>
    <w:uiPriority w:val="59"/>
    <w:rsid w:val="00B3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60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7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7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12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D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7E5"/>
  </w:style>
  <w:style w:type="paragraph" w:styleId="Fuzeile">
    <w:name w:val="footer"/>
    <w:basedOn w:val="Standard"/>
    <w:link w:val="FuzeileZchn"/>
    <w:uiPriority w:val="99"/>
    <w:unhideWhenUsed/>
    <w:rsid w:val="0075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9C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C2C70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77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12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2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251"/>
    <w:rPr>
      <w:vertAlign w:val="superscript"/>
    </w:rPr>
  </w:style>
  <w:style w:type="table" w:styleId="Tabellenraster">
    <w:name w:val="Table Grid"/>
    <w:basedOn w:val="NormaleTabelle"/>
    <w:uiPriority w:val="59"/>
    <w:rsid w:val="00B3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60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55A2-1C95-4262-BF27-8DAF8B95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Grimm</dc:creator>
  <cp:lastModifiedBy>wh.GA.2014</cp:lastModifiedBy>
  <cp:revision>2</cp:revision>
  <cp:lastPrinted>2014-11-27T14:09:00Z</cp:lastPrinted>
  <dcterms:created xsi:type="dcterms:W3CDTF">2016-03-09T09:36:00Z</dcterms:created>
  <dcterms:modified xsi:type="dcterms:W3CDTF">2016-03-09T09:36:00Z</dcterms:modified>
</cp:coreProperties>
</file>